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Style w:val="10"/>
          <w:rFonts w:ascii="楷体_GB2312" w:hAnsi="华文中宋" w:eastAsia="楷体_GB2312"/>
          <w:b/>
          <w:sz w:val="96"/>
          <w:szCs w:val="96"/>
        </w:rPr>
      </w:pPr>
    </w:p>
    <w:p>
      <w:pPr>
        <w:spacing w:line="800" w:lineRule="exact"/>
        <w:jc w:val="center"/>
        <w:rPr>
          <w:rStyle w:val="10"/>
          <w:rFonts w:ascii="仿宋" w:hAnsi="仿宋" w:eastAsia="仿宋"/>
          <w:b/>
          <w:sz w:val="56"/>
          <w:szCs w:val="56"/>
        </w:rPr>
      </w:pPr>
    </w:p>
    <w:p>
      <w:pPr>
        <w:spacing w:line="400" w:lineRule="exact"/>
        <w:jc w:val="center"/>
        <w:rPr>
          <w:rStyle w:val="10"/>
          <w:b/>
          <w:sz w:val="36"/>
          <w:szCs w:val="36"/>
        </w:rPr>
      </w:pPr>
      <w:bookmarkStart w:id="1" w:name="_GoBack"/>
      <w:r>
        <w:rPr>
          <w:rStyle w:val="10"/>
          <w:b/>
          <w:sz w:val="36"/>
          <w:szCs w:val="36"/>
        </w:rPr>
        <w:t>综合评分细则</w:t>
      </w:r>
    </w:p>
    <w:bookmarkEnd w:id="1"/>
    <w:p>
      <w:pPr>
        <w:spacing w:line="480" w:lineRule="exact"/>
        <w:ind w:firstLine="240" w:firstLineChars="100"/>
        <w:jc w:val="left"/>
        <w:rPr>
          <w:rStyle w:val="10"/>
          <w:rFonts w:ascii="宋体" w:hAnsi="宋体"/>
          <w:sz w:val="24"/>
        </w:rPr>
      </w:pPr>
      <w:r>
        <w:rPr>
          <w:rStyle w:val="10"/>
          <w:rFonts w:ascii="宋体" w:hAnsi="宋体"/>
          <w:sz w:val="24"/>
        </w:rPr>
        <w:t>项目名称：2022-2024年度招标、采购代理机构比选</w:t>
      </w:r>
    </w:p>
    <w:p>
      <w:pPr>
        <w:pStyle w:val="21"/>
        <w:rPr>
          <w:rStyle w:val="10"/>
          <w:rFonts w:ascii="宋体" w:hAnsi="宋体"/>
          <w:sz w:val="24"/>
        </w:rPr>
      </w:pPr>
      <w:r>
        <w:rPr>
          <w:rStyle w:val="10"/>
          <w:rFonts w:ascii="宋体" w:hAnsi="宋体"/>
          <w:sz w:val="24"/>
        </w:rPr>
        <w:t xml:space="preserve">  </w:t>
      </w:r>
    </w:p>
    <w:tbl>
      <w:tblPr>
        <w:tblStyle w:val="5"/>
        <w:tblpPr w:leftFromText="180" w:rightFromText="180" w:vertAnchor="text" w:tblpX="151" w:tblpY="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343"/>
        <w:gridCol w:w="9355"/>
        <w:gridCol w:w="925"/>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959" w:type="dxa"/>
            <w:vAlign w:val="center"/>
          </w:tcPr>
          <w:p>
            <w:pPr>
              <w:widowControl w:val="0"/>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43" w:type="dxa"/>
            <w:vAlign w:val="center"/>
          </w:tcPr>
          <w:p>
            <w:pPr>
              <w:widowControl w:val="0"/>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评分项目</w:t>
            </w:r>
          </w:p>
        </w:tc>
        <w:tc>
          <w:tcPr>
            <w:tcW w:w="9355" w:type="dxa"/>
            <w:vAlign w:val="center"/>
          </w:tcPr>
          <w:p>
            <w:pPr>
              <w:widowControl w:val="0"/>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评分方法</w:t>
            </w:r>
          </w:p>
        </w:tc>
        <w:tc>
          <w:tcPr>
            <w:tcW w:w="925" w:type="dxa"/>
            <w:vAlign w:val="center"/>
          </w:tcPr>
          <w:p>
            <w:pPr>
              <w:widowControl w:val="0"/>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得分</w:t>
            </w:r>
          </w:p>
        </w:tc>
        <w:tc>
          <w:tcPr>
            <w:tcW w:w="1560" w:type="dxa"/>
            <w:tcBorders>
              <w:bottom w:val="single" w:color="000000" w:sz="4" w:space="0"/>
            </w:tcBorders>
            <w:vAlign w:val="center"/>
          </w:tcPr>
          <w:p>
            <w:pPr>
              <w:widowControl w:val="0"/>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1</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经营年限</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5</w:t>
            </w:r>
            <w:r>
              <w:rPr>
                <w:rFonts w:hint="eastAsia" w:ascii="仿宋_GB2312" w:hAnsi="仿宋_GB2312" w:eastAsia="仿宋_GB2312" w:cs="仿宋_GB2312"/>
                <w:sz w:val="24"/>
              </w:rPr>
              <w:t>分）</w:t>
            </w:r>
          </w:p>
        </w:tc>
        <w:tc>
          <w:tcPr>
            <w:tcW w:w="9355" w:type="dxa"/>
            <w:vAlign w:val="center"/>
          </w:tcPr>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1、企业经营年每满1年的得1分，此项最多5分；</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备注：以营业执照成立日期来计算企业经营年限，不足一年的不予计算。</w:t>
            </w:r>
          </w:p>
        </w:tc>
        <w:tc>
          <w:tcPr>
            <w:tcW w:w="925" w:type="dxa"/>
            <w:vAlign w:val="center"/>
          </w:tcPr>
          <w:p>
            <w:pPr>
              <w:widowControl w:val="0"/>
              <w:jc w:val="left"/>
              <w:textAlignment w:val="auto"/>
              <w:rPr>
                <w:rFonts w:ascii="仿宋_GB2312" w:hAnsi="仿宋_GB2312" w:eastAsia="仿宋_GB2312" w:cs="仿宋_GB2312"/>
                <w:sz w:val="24"/>
              </w:rPr>
            </w:pPr>
          </w:p>
        </w:tc>
        <w:tc>
          <w:tcPr>
            <w:tcW w:w="1560" w:type="dxa"/>
            <w:tcBorders>
              <w:bottom w:val="single" w:color="000000" w:sz="4" w:space="0"/>
            </w:tcBorders>
            <w:vAlign w:val="center"/>
          </w:tcPr>
          <w:p>
            <w:pPr>
              <w:widowControl w:val="0"/>
              <w:jc w:val="center"/>
              <w:textAlignment w:val="auto"/>
              <w:rPr>
                <w:rFonts w:ascii="仿宋_GB2312" w:hAnsi="仿宋_GB2312" w:eastAsia="仿宋_GB2312" w:cs="仿宋_GB2312"/>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办公场所</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w:t>
            </w:r>
            <w:r>
              <w:rPr>
                <w:rFonts w:hint="eastAsia" w:ascii="仿宋_GB2312" w:hAnsi="仿宋_GB2312" w:eastAsia="仿宋_GB2312" w:cs="仿宋_GB2312"/>
                <w:sz w:val="24"/>
              </w:rPr>
              <w:t>分）</w:t>
            </w:r>
          </w:p>
        </w:tc>
        <w:tc>
          <w:tcPr>
            <w:tcW w:w="9355" w:type="dxa"/>
            <w:vAlign w:val="center"/>
          </w:tcPr>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1、在贵州省内有固定办公场地且办公场地面积</w:t>
            </w:r>
            <w:r>
              <w:rPr>
                <w:rFonts w:hint="eastAsia" w:ascii="宋体" w:hAnsi="宋体" w:cs="宋体"/>
                <w:sz w:val="24"/>
              </w:rPr>
              <w:t>≧</w:t>
            </w:r>
            <w:r>
              <w:rPr>
                <w:rFonts w:hint="eastAsia" w:ascii="仿宋_GB2312" w:hAnsi="仿宋_GB2312" w:eastAsia="仿宋_GB2312" w:cs="仿宋_GB2312"/>
                <w:sz w:val="24"/>
              </w:rPr>
              <w:t>100</w:t>
            </w:r>
            <w:r>
              <w:rPr>
                <w:rFonts w:hint="eastAsia" w:ascii="宋体" w:hAnsi="宋体" w:cs="宋体"/>
                <w:sz w:val="24"/>
              </w:rPr>
              <w:t>㎡</w:t>
            </w:r>
            <w:r>
              <w:rPr>
                <w:rFonts w:hint="eastAsia" w:ascii="仿宋_GB2312" w:hAnsi="仿宋_GB2312" w:eastAsia="仿宋_GB2312" w:cs="仿宋_GB2312"/>
                <w:sz w:val="24"/>
              </w:rPr>
              <w:t>得</w:t>
            </w:r>
            <w:r>
              <w:rPr>
                <w:rFonts w:ascii="仿宋_GB2312" w:hAnsi="仿宋_GB2312" w:eastAsia="仿宋_GB2312" w:cs="仿宋_GB2312"/>
                <w:sz w:val="24"/>
              </w:rPr>
              <w:t>1</w:t>
            </w:r>
            <w:r>
              <w:rPr>
                <w:rFonts w:hint="eastAsia" w:ascii="仿宋_GB2312" w:hAnsi="仿宋_GB2312" w:eastAsia="仿宋_GB2312" w:cs="仿宋_GB2312"/>
                <w:sz w:val="24"/>
              </w:rPr>
              <w:t>分，在100</w:t>
            </w:r>
            <w:r>
              <w:rPr>
                <w:rFonts w:hint="eastAsia" w:ascii="宋体" w:hAnsi="宋体" w:cs="宋体"/>
                <w:sz w:val="24"/>
              </w:rPr>
              <w:t>㎡</w:t>
            </w:r>
            <w:r>
              <w:rPr>
                <w:rFonts w:hint="eastAsia" w:ascii="仿宋_GB2312" w:hAnsi="仿宋_GB2312" w:eastAsia="仿宋_GB2312" w:cs="仿宋_GB2312"/>
                <w:sz w:val="24"/>
              </w:rPr>
              <w:t>的基础上每增加100</w:t>
            </w:r>
            <w:r>
              <w:rPr>
                <w:rFonts w:hint="eastAsia" w:ascii="宋体" w:hAnsi="宋体" w:cs="宋体"/>
                <w:sz w:val="24"/>
              </w:rPr>
              <w:t>㎡</w:t>
            </w:r>
            <w:r>
              <w:rPr>
                <w:rFonts w:hint="eastAsia" w:ascii="仿宋_GB2312" w:hAnsi="仿宋_GB2312" w:eastAsia="仿宋_GB2312" w:cs="仿宋_GB2312"/>
                <w:sz w:val="24"/>
              </w:rPr>
              <w:t>加</w:t>
            </w:r>
            <w:r>
              <w:rPr>
                <w:rFonts w:ascii="仿宋_GB2312" w:hAnsi="仿宋_GB2312" w:eastAsia="仿宋_GB2312" w:cs="仿宋_GB2312"/>
                <w:sz w:val="24"/>
              </w:rPr>
              <w:t>1</w:t>
            </w:r>
            <w:r>
              <w:rPr>
                <w:rFonts w:hint="eastAsia" w:ascii="仿宋_GB2312" w:hAnsi="仿宋_GB2312" w:eastAsia="仿宋_GB2312" w:cs="仿宋_GB2312"/>
                <w:sz w:val="24"/>
              </w:rPr>
              <w:t>分，最多加</w:t>
            </w:r>
            <w:r>
              <w:rPr>
                <w:rFonts w:ascii="仿宋_GB2312" w:hAnsi="仿宋_GB2312" w:eastAsia="仿宋_GB2312" w:cs="仿宋_GB2312"/>
                <w:sz w:val="24"/>
              </w:rPr>
              <w:t>4</w:t>
            </w:r>
            <w:r>
              <w:rPr>
                <w:rFonts w:hint="eastAsia" w:ascii="仿宋_GB2312" w:hAnsi="仿宋_GB2312" w:eastAsia="仿宋_GB2312" w:cs="仿宋_GB2312"/>
                <w:sz w:val="24"/>
              </w:rPr>
              <w:t>分，满分</w:t>
            </w:r>
            <w:r>
              <w:rPr>
                <w:rFonts w:ascii="仿宋_GB2312" w:hAnsi="仿宋_GB2312" w:eastAsia="仿宋_GB2312" w:cs="仿宋_GB2312"/>
                <w:sz w:val="24"/>
              </w:rPr>
              <w:t>5</w:t>
            </w:r>
            <w:r>
              <w:rPr>
                <w:rFonts w:hint="eastAsia" w:ascii="仿宋_GB2312" w:hAnsi="仿宋_GB2312" w:eastAsia="仿宋_GB2312" w:cs="仿宋_GB2312"/>
                <w:sz w:val="24"/>
              </w:rPr>
              <w:t>分。</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2、公司具有独立的开评标场地、配有视频监控设备、具有专业的资料保管室得</w:t>
            </w:r>
            <w:r>
              <w:rPr>
                <w:rFonts w:ascii="仿宋_GB2312" w:hAnsi="仿宋_GB2312" w:eastAsia="仿宋_GB2312" w:cs="仿宋_GB2312"/>
                <w:sz w:val="24"/>
              </w:rPr>
              <w:t>5</w:t>
            </w:r>
            <w:r>
              <w:rPr>
                <w:rFonts w:hint="eastAsia" w:ascii="仿宋_GB2312" w:hAnsi="仿宋_GB2312" w:eastAsia="仿宋_GB2312" w:cs="仿宋_GB2312"/>
                <w:sz w:val="24"/>
              </w:rPr>
              <w:t>分。</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备注：提供房屋所有权证明或租赁合同（租赁合同需在有效期内）、办公场地图片并加盖单位公章作为佐证材料，否则视为未响应。</w:t>
            </w:r>
          </w:p>
        </w:tc>
        <w:tc>
          <w:tcPr>
            <w:tcW w:w="925" w:type="dxa"/>
            <w:vAlign w:val="center"/>
          </w:tcPr>
          <w:p>
            <w:pPr>
              <w:widowControl w:val="0"/>
              <w:jc w:val="left"/>
              <w:textAlignment w:val="auto"/>
              <w:rPr>
                <w:rFonts w:ascii="仿宋_GB2312" w:hAnsi="仿宋_GB2312" w:eastAsia="仿宋_GB2312" w:cs="仿宋_GB2312"/>
                <w:sz w:val="24"/>
              </w:rPr>
            </w:pPr>
          </w:p>
        </w:tc>
        <w:tc>
          <w:tcPr>
            <w:tcW w:w="1560" w:type="dxa"/>
            <w:tcBorders>
              <w:bottom w:val="single" w:color="000000" w:sz="4" w:space="0"/>
            </w:tcBorders>
            <w:vAlign w:val="center"/>
          </w:tcPr>
          <w:p>
            <w:pPr>
              <w:widowControl w:val="0"/>
              <w:jc w:val="center"/>
              <w:textAlignment w:val="auto"/>
              <w:rPr>
                <w:rFonts w:ascii="仿宋_GB2312" w:hAnsi="仿宋_GB2312" w:eastAsia="仿宋_GB2312" w:cs="仿宋_GB2312"/>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人员情况</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5分）</w:t>
            </w:r>
          </w:p>
        </w:tc>
        <w:tc>
          <w:tcPr>
            <w:tcW w:w="9355" w:type="dxa"/>
            <w:vAlign w:val="center"/>
          </w:tcPr>
          <w:p>
            <w:pPr>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1、每提供一名具有中国招标投标协会签发的“招标采购从业人员专业技术能力评价证书”中级及以上证书的人员得</w:t>
            </w:r>
            <w:r>
              <w:rPr>
                <w:rFonts w:ascii="仿宋_GB2312" w:hAnsi="仿宋_GB2312" w:eastAsia="仿宋_GB2312" w:cs="仿宋_GB2312"/>
                <w:sz w:val="24"/>
              </w:rPr>
              <w:t>1</w:t>
            </w:r>
            <w:r>
              <w:rPr>
                <w:rFonts w:hint="eastAsia" w:ascii="仿宋_GB2312" w:hAnsi="仿宋_GB2312" w:eastAsia="仿宋_GB2312" w:cs="仿宋_GB2312"/>
                <w:sz w:val="24"/>
              </w:rPr>
              <w:t>分，此项最高不得超过</w:t>
            </w:r>
            <w:r>
              <w:rPr>
                <w:rFonts w:ascii="仿宋_GB2312" w:hAnsi="仿宋_GB2312" w:eastAsia="仿宋_GB2312" w:cs="仿宋_GB2312"/>
                <w:sz w:val="24"/>
              </w:rPr>
              <w:t>2</w:t>
            </w:r>
            <w:r>
              <w:rPr>
                <w:rFonts w:hint="eastAsia" w:ascii="仿宋_GB2312" w:hAnsi="仿宋_GB2312" w:eastAsia="仿宋_GB2312" w:cs="仿宋_GB2312"/>
                <w:sz w:val="24"/>
              </w:rPr>
              <w:t>分。</w:t>
            </w:r>
          </w:p>
          <w:p>
            <w:pPr>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2、每提供一名具有贵州省财政厅颁发的贵州省政府采购从业人员培训证书的得1分，此项最高不得超过3分。</w:t>
            </w:r>
          </w:p>
          <w:p>
            <w:pPr>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3、根据提供服务本项目的项目负责人及团队的情况，评价优的得</w:t>
            </w:r>
            <w:r>
              <w:rPr>
                <w:rFonts w:ascii="仿宋_GB2312" w:hAnsi="仿宋_GB2312" w:eastAsia="仿宋_GB2312" w:cs="仿宋_GB2312"/>
                <w:sz w:val="24"/>
              </w:rPr>
              <w:t>10</w:t>
            </w:r>
            <w:r>
              <w:rPr>
                <w:rFonts w:hint="eastAsia" w:ascii="仿宋_GB2312" w:hAnsi="仿宋_GB2312" w:eastAsia="仿宋_GB2312" w:cs="仿宋_GB2312"/>
                <w:sz w:val="24"/>
              </w:rPr>
              <w:t>-</w:t>
            </w:r>
            <w:r>
              <w:rPr>
                <w:rFonts w:ascii="仿宋_GB2312" w:hAnsi="仿宋_GB2312" w:eastAsia="仿宋_GB2312" w:cs="仿宋_GB2312"/>
                <w:sz w:val="24"/>
              </w:rPr>
              <w:t>7(</w:t>
            </w:r>
            <w:r>
              <w:rPr>
                <w:rFonts w:hint="eastAsia" w:ascii="仿宋_GB2312" w:hAnsi="仿宋_GB2312" w:eastAsia="仿宋_GB2312" w:cs="仿宋_GB2312"/>
                <w:sz w:val="24"/>
              </w:rPr>
              <w:t>不含7</w:t>
            </w:r>
            <w:r>
              <w:rPr>
                <w:rFonts w:ascii="仿宋_GB2312" w:hAnsi="仿宋_GB2312" w:eastAsia="仿宋_GB2312" w:cs="仿宋_GB2312"/>
                <w:sz w:val="24"/>
              </w:rPr>
              <w:t>)</w:t>
            </w:r>
            <w:r>
              <w:rPr>
                <w:rFonts w:hint="eastAsia" w:ascii="仿宋_GB2312" w:hAnsi="仿宋_GB2312" w:eastAsia="仿宋_GB2312" w:cs="仿宋_GB2312"/>
                <w:sz w:val="24"/>
              </w:rPr>
              <w:t>；评价良的得</w:t>
            </w:r>
            <w:r>
              <w:rPr>
                <w:rFonts w:ascii="仿宋_GB2312" w:hAnsi="仿宋_GB2312" w:eastAsia="仿宋_GB2312" w:cs="仿宋_GB2312"/>
                <w:sz w:val="24"/>
              </w:rPr>
              <w:t>7</w:t>
            </w:r>
            <w:r>
              <w:rPr>
                <w:rFonts w:hint="eastAsia" w:ascii="仿宋_GB2312" w:hAnsi="仿宋_GB2312" w:eastAsia="仿宋_GB2312" w:cs="仿宋_GB2312"/>
                <w:sz w:val="24"/>
              </w:rPr>
              <w:t>-</w:t>
            </w:r>
            <w:r>
              <w:rPr>
                <w:rFonts w:ascii="仿宋_GB2312" w:hAnsi="仿宋_GB2312" w:eastAsia="仿宋_GB2312" w:cs="仿宋_GB2312"/>
                <w:sz w:val="24"/>
              </w:rPr>
              <w:t>4(</w:t>
            </w:r>
            <w:r>
              <w:rPr>
                <w:rFonts w:hint="eastAsia" w:ascii="仿宋_GB2312" w:hAnsi="仿宋_GB2312" w:eastAsia="仿宋_GB2312" w:cs="仿宋_GB2312"/>
                <w:sz w:val="24"/>
              </w:rPr>
              <w:t>不含4</w:t>
            </w:r>
            <w:r>
              <w:rPr>
                <w:rFonts w:ascii="仿宋_GB2312" w:hAnsi="仿宋_GB2312" w:eastAsia="仿宋_GB2312" w:cs="仿宋_GB2312"/>
                <w:sz w:val="24"/>
              </w:rPr>
              <w:t>)</w:t>
            </w:r>
            <w:r>
              <w:rPr>
                <w:rFonts w:hint="eastAsia" w:ascii="仿宋_GB2312" w:hAnsi="仿宋_GB2312" w:eastAsia="仿宋_GB2312" w:cs="仿宋_GB2312"/>
                <w:sz w:val="24"/>
              </w:rPr>
              <w:t>；评价一般的得</w:t>
            </w:r>
            <w:r>
              <w:rPr>
                <w:rFonts w:ascii="仿宋_GB2312" w:hAnsi="仿宋_GB2312" w:eastAsia="仿宋_GB2312" w:cs="仿宋_GB2312"/>
                <w:sz w:val="24"/>
              </w:rPr>
              <w:t>4</w:t>
            </w: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不含1</w:t>
            </w:r>
            <w:r>
              <w:rPr>
                <w:rFonts w:ascii="仿宋_GB2312" w:hAnsi="仿宋_GB2312" w:eastAsia="仿宋_GB2312" w:cs="仿宋_GB2312"/>
                <w:sz w:val="24"/>
              </w:rPr>
              <w:t>)</w:t>
            </w:r>
            <w:r>
              <w:rPr>
                <w:rFonts w:hint="eastAsia" w:ascii="仿宋_GB2312" w:hAnsi="仿宋_GB2312" w:eastAsia="仿宋_GB2312" w:cs="仿宋_GB2312"/>
                <w:sz w:val="24"/>
              </w:rPr>
              <w:t>；评价差的得</w:t>
            </w:r>
            <w:r>
              <w:rPr>
                <w:rFonts w:ascii="仿宋_GB2312" w:hAnsi="仿宋_GB2312" w:eastAsia="仿宋_GB2312" w:cs="仿宋_GB2312"/>
                <w:sz w:val="24"/>
              </w:rPr>
              <w:t>1-</w:t>
            </w:r>
            <w:r>
              <w:rPr>
                <w:rFonts w:hint="eastAsia" w:ascii="仿宋_GB2312" w:hAnsi="仿宋_GB2312" w:eastAsia="仿宋_GB2312" w:cs="仿宋_GB2312"/>
                <w:sz w:val="24"/>
              </w:rPr>
              <w:t>0</w:t>
            </w:r>
            <w:r>
              <w:rPr>
                <w:rFonts w:ascii="仿宋_GB2312" w:hAnsi="仿宋_GB2312" w:eastAsia="仿宋_GB2312" w:cs="仿宋_GB2312"/>
                <w:sz w:val="24"/>
              </w:rPr>
              <w:t>。</w:t>
            </w:r>
          </w:p>
          <w:p>
            <w:pPr>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备注：提供人员名单、资格证书、培训证书及2</w:t>
            </w:r>
            <w:r>
              <w:rPr>
                <w:rFonts w:ascii="仿宋_GB2312" w:hAnsi="仿宋_GB2312" w:eastAsia="仿宋_GB2312" w:cs="仿宋_GB2312"/>
                <w:sz w:val="24"/>
              </w:rPr>
              <w:t>022</w:t>
            </w:r>
            <w:r>
              <w:rPr>
                <w:rFonts w:hint="eastAsia" w:ascii="仿宋_GB2312" w:hAnsi="仿宋_GB2312" w:eastAsia="仿宋_GB2312" w:cs="仿宋_GB2312"/>
                <w:sz w:val="24"/>
              </w:rPr>
              <w:t>年任意一个月的社保缴纳证明并加盖单位公章作为佐证材料，否则视为未响应。</w:t>
            </w:r>
          </w:p>
        </w:tc>
        <w:tc>
          <w:tcPr>
            <w:tcW w:w="925" w:type="dxa"/>
            <w:vAlign w:val="center"/>
          </w:tcPr>
          <w:p>
            <w:pPr>
              <w:ind w:left="-361" w:leftChars="-172"/>
              <w:textAlignment w:val="auto"/>
              <w:outlineLvl w:val="1"/>
              <w:rPr>
                <w:rFonts w:ascii="仿宋_GB2312" w:hAnsi="仿宋_GB2312" w:eastAsia="仿宋_GB2312" w:cs="仿宋_GB2312"/>
                <w:sz w:val="24"/>
              </w:rPr>
            </w:pPr>
            <w:r>
              <w:rPr>
                <w:rFonts w:hint="eastAsia" w:ascii="仿宋_GB2312" w:hAnsi="仿宋_GB2312" w:eastAsia="仿宋_GB2312" w:cs="仿宋_GB2312"/>
                <w:sz w:val="24"/>
              </w:rPr>
              <w:t>从</w:t>
            </w:r>
          </w:p>
        </w:tc>
        <w:tc>
          <w:tcPr>
            <w:tcW w:w="1560" w:type="dxa"/>
            <w:tcBorders>
              <w:top w:val="single" w:color="000000" w:sz="4" w:space="0"/>
              <w:bottom w:val="single" w:color="000000" w:sz="4" w:space="0"/>
              <w:right w:val="single" w:color="000000" w:sz="4" w:space="0"/>
            </w:tcBorders>
            <w:vAlign w:val="center"/>
          </w:tcPr>
          <w:p>
            <w:pPr>
              <w:widowControl w:val="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4</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获奖情况</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（5分）</w:t>
            </w:r>
          </w:p>
        </w:tc>
        <w:tc>
          <w:tcPr>
            <w:tcW w:w="9355" w:type="dxa"/>
            <w:vAlign w:val="center"/>
          </w:tcPr>
          <w:p>
            <w:pPr>
              <w:widowControl w:val="0"/>
              <w:spacing w:line="320" w:lineRule="exact"/>
              <w:textAlignment w:val="auto"/>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bookmarkStart w:id="0" w:name="_Hlk88245826"/>
            <w:r>
              <w:rPr>
                <w:rFonts w:hint="eastAsia" w:ascii="仿宋_GB2312" w:hAnsi="仿宋_GB2312" w:eastAsia="仿宋_GB2312" w:cs="仿宋_GB2312"/>
                <w:sz w:val="24"/>
              </w:rPr>
              <w:t>20</w:t>
            </w:r>
            <w:r>
              <w:rPr>
                <w:rFonts w:ascii="仿宋_GB2312" w:hAnsi="仿宋_GB2312" w:eastAsia="仿宋_GB2312" w:cs="仿宋_GB2312"/>
                <w:sz w:val="24"/>
              </w:rPr>
              <w:t>21</w:t>
            </w:r>
            <w:r>
              <w:rPr>
                <w:rFonts w:hint="eastAsia" w:ascii="仿宋_GB2312" w:hAnsi="仿宋_GB2312" w:eastAsia="仿宋_GB2312" w:cs="仿宋_GB2312"/>
                <w:sz w:val="24"/>
              </w:rPr>
              <w:t>年获省级及以上协会或行政主管部门颁发的“优秀招标代理机构”称号</w:t>
            </w:r>
            <w:bookmarkEnd w:id="0"/>
            <w:r>
              <w:rPr>
                <w:rFonts w:hint="eastAsia" w:ascii="仿宋_GB2312" w:hAnsi="仿宋_GB2312" w:eastAsia="仿宋_GB2312" w:cs="仿宋_GB2312"/>
                <w:sz w:val="24"/>
              </w:rPr>
              <w:t>的，得5分。</w:t>
            </w:r>
          </w:p>
          <w:p>
            <w:pPr>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备注：提供以上证书扫描件加盖比选单位公章作为佐证材料，否则视为未响应。</w:t>
            </w:r>
          </w:p>
        </w:tc>
        <w:tc>
          <w:tcPr>
            <w:tcW w:w="925" w:type="dxa"/>
            <w:vAlign w:val="center"/>
          </w:tcPr>
          <w:p>
            <w:pPr>
              <w:ind w:left="-361" w:leftChars="-172"/>
              <w:textAlignment w:val="auto"/>
              <w:outlineLvl w:val="1"/>
              <w:rPr>
                <w:rFonts w:ascii="仿宋_GB2312" w:hAnsi="仿宋_GB2312" w:eastAsia="仿宋_GB2312" w:cs="仿宋_GB2312"/>
                <w:sz w:val="24"/>
              </w:rPr>
            </w:pPr>
          </w:p>
        </w:tc>
        <w:tc>
          <w:tcPr>
            <w:tcW w:w="1560" w:type="dxa"/>
            <w:tcBorders>
              <w:top w:val="single" w:color="000000" w:sz="4" w:space="0"/>
              <w:bottom w:val="single" w:color="000000" w:sz="4" w:space="0"/>
              <w:right w:val="single" w:color="000000" w:sz="4" w:space="0"/>
            </w:tcBorders>
            <w:vAlign w:val="center"/>
          </w:tcPr>
          <w:p>
            <w:pPr>
              <w:widowControl w:val="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5</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业绩情况</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（30分）</w:t>
            </w:r>
          </w:p>
        </w:tc>
        <w:tc>
          <w:tcPr>
            <w:tcW w:w="9355" w:type="dxa"/>
            <w:vAlign w:val="center"/>
          </w:tcPr>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2020年1月至今的招标、采购代理业绩：</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医院工程类项目，每提供1个得5分，满分</w:t>
            </w:r>
            <w:r>
              <w:rPr>
                <w:rFonts w:ascii="仿宋_GB2312" w:hAnsi="仿宋_GB2312" w:eastAsia="仿宋_GB2312" w:cs="仿宋_GB2312"/>
                <w:sz w:val="24"/>
              </w:rPr>
              <w:t>10</w:t>
            </w:r>
            <w:r>
              <w:rPr>
                <w:rFonts w:hint="eastAsia" w:ascii="仿宋_GB2312" w:hAnsi="仿宋_GB2312" w:eastAsia="仿宋_GB2312" w:cs="仿宋_GB2312"/>
                <w:sz w:val="24"/>
              </w:rPr>
              <w:t xml:space="preserve"> 分；</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医疗货物类项目，每提供1个得5分，满分</w:t>
            </w:r>
            <w:r>
              <w:rPr>
                <w:rFonts w:ascii="仿宋_GB2312" w:hAnsi="仿宋_GB2312" w:eastAsia="仿宋_GB2312" w:cs="仿宋_GB2312"/>
                <w:sz w:val="24"/>
              </w:rPr>
              <w:t>10</w:t>
            </w:r>
            <w:r>
              <w:rPr>
                <w:rFonts w:hint="eastAsia" w:ascii="仿宋_GB2312" w:hAnsi="仿宋_GB2312" w:eastAsia="仿宋_GB2312" w:cs="仿宋_GB2312"/>
                <w:sz w:val="24"/>
              </w:rPr>
              <w:t>分；</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医院服务类项目，每提供1个得5分，满分</w:t>
            </w:r>
            <w:r>
              <w:rPr>
                <w:rFonts w:ascii="仿宋_GB2312" w:hAnsi="仿宋_GB2312" w:eastAsia="仿宋_GB2312" w:cs="仿宋_GB2312"/>
                <w:sz w:val="24"/>
              </w:rPr>
              <w:t>10</w:t>
            </w:r>
            <w:r>
              <w:rPr>
                <w:rFonts w:hint="eastAsia" w:ascii="仿宋_GB2312" w:hAnsi="仿宋_GB2312" w:eastAsia="仿宋_GB2312" w:cs="仿宋_GB2312"/>
                <w:sz w:val="24"/>
              </w:rPr>
              <w:t xml:space="preserve"> 分。</w:t>
            </w:r>
          </w:p>
          <w:p>
            <w:pPr>
              <w:widowControl w:val="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（备注：以上业绩的招标人（或采购人）须为县级以上的公立医院，并提供项目招标公告和中标通知书作为佐证材料，否则视为未响应）</w:t>
            </w:r>
          </w:p>
        </w:tc>
        <w:tc>
          <w:tcPr>
            <w:tcW w:w="925" w:type="dxa"/>
            <w:vAlign w:val="center"/>
          </w:tcPr>
          <w:p>
            <w:pPr>
              <w:widowControl w:val="0"/>
              <w:jc w:val="left"/>
              <w:textAlignment w:val="auto"/>
              <w:rPr>
                <w:rFonts w:ascii="仿宋_GB2312" w:hAnsi="仿宋_GB2312" w:eastAsia="仿宋_GB2312" w:cs="仿宋_GB2312"/>
                <w:sz w:val="24"/>
              </w:rPr>
            </w:pPr>
          </w:p>
        </w:tc>
        <w:tc>
          <w:tcPr>
            <w:tcW w:w="1560" w:type="dxa"/>
            <w:tcBorders>
              <w:top w:val="single" w:color="000000" w:sz="4" w:space="0"/>
              <w:bottom w:val="single" w:color="000000" w:sz="4" w:space="0"/>
              <w:right w:val="single" w:color="000000" w:sz="4" w:space="0"/>
            </w:tcBorders>
            <w:vAlign w:val="center"/>
          </w:tcPr>
          <w:p>
            <w:pPr>
              <w:widowControl w:val="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6</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服务方案</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（20分）</w:t>
            </w:r>
          </w:p>
        </w:tc>
        <w:tc>
          <w:tcPr>
            <w:tcW w:w="9355" w:type="dxa"/>
            <w:vAlign w:val="center"/>
          </w:tcPr>
          <w:p>
            <w:pPr>
              <w:textAlignment w:val="auto"/>
              <w:rPr>
                <w:rFonts w:ascii="仿宋_GB2312" w:hAnsi="仿宋_GB2312" w:eastAsia="仿宋_GB2312" w:cs="仿宋_GB2312"/>
                <w:sz w:val="24"/>
              </w:rPr>
            </w:pPr>
            <w:r>
              <w:rPr>
                <w:rFonts w:hint="eastAsia" w:ascii="仿宋_GB2312" w:hAnsi="仿宋_GB2312" w:eastAsia="仿宋_GB2312" w:cs="仿宋_GB2312"/>
                <w:sz w:val="24"/>
              </w:rPr>
              <w:t>根据比选人提供的服务方案进行综合评价，评价优的得20-</w:t>
            </w:r>
            <w:r>
              <w:rPr>
                <w:rFonts w:ascii="仿宋_GB2312" w:hAnsi="仿宋_GB2312" w:eastAsia="仿宋_GB2312" w:cs="仿宋_GB2312"/>
                <w:sz w:val="24"/>
              </w:rPr>
              <w:t>1</w:t>
            </w: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ascii="仿宋_GB2312" w:hAnsi="仿宋_GB2312" w:eastAsia="仿宋_GB2312" w:cs="仿宋_GB2312"/>
                <w:sz w:val="24"/>
              </w:rPr>
              <w:t>不含</w:t>
            </w:r>
            <w:r>
              <w:rPr>
                <w:rFonts w:ascii="仿宋_GB2312" w:hAnsi="仿宋_GB2312" w:eastAsia="仿宋_GB2312" w:cs="仿宋_GB2312"/>
                <w:sz w:val="24"/>
              </w:rPr>
              <w:t>1</w:t>
            </w: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ascii="仿宋_GB2312" w:hAnsi="仿宋_GB2312" w:eastAsia="仿宋_GB2312" w:cs="仿宋_GB2312"/>
                <w:sz w:val="24"/>
              </w:rPr>
              <w:t>；评价良的得</w:t>
            </w:r>
            <w:r>
              <w:rPr>
                <w:rFonts w:ascii="仿宋_GB2312" w:hAnsi="仿宋_GB2312" w:eastAsia="仿宋_GB2312" w:cs="仿宋_GB2312"/>
                <w:sz w:val="24"/>
              </w:rPr>
              <w:t>1</w:t>
            </w:r>
            <w:r>
              <w:rPr>
                <w:rFonts w:hint="eastAsia" w:ascii="仿宋_GB2312" w:hAnsi="仿宋_GB2312" w:eastAsia="仿宋_GB2312" w:cs="仿宋_GB2312"/>
                <w:sz w:val="24"/>
              </w:rPr>
              <w:t>5-9</w:t>
            </w:r>
            <w:r>
              <w:rPr>
                <w:rFonts w:ascii="仿宋_GB2312" w:hAnsi="仿宋_GB2312" w:eastAsia="仿宋_GB2312" w:cs="仿宋_GB2312"/>
                <w:sz w:val="24"/>
              </w:rPr>
              <w:t>(</w:t>
            </w:r>
            <w:r>
              <w:rPr>
                <w:rFonts w:hint="eastAsia" w:ascii="仿宋_GB2312" w:hAnsi="仿宋_GB2312" w:eastAsia="仿宋_GB2312" w:cs="仿宋_GB2312"/>
                <w:sz w:val="24"/>
              </w:rPr>
              <w:t>不含9</w:t>
            </w:r>
            <w:r>
              <w:rPr>
                <w:rFonts w:ascii="仿宋_GB2312" w:hAnsi="仿宋_GB2312" w:eastAsia="仿宋_GB2312" w:cs="仿宋_GB2312"/>
                <w:sz w:val="24"/>
              </w:rPr>
              <w:t>)</w:t>
            </w:r>
            <w:r>
              <w:rPr>
                <w:rFonts w:hint="eastAsia" w:ascii="仿宋_GB2312" w:hAnsi="仿宋_GB2312" w:eastAsia="仿宋_GB2312" w:cs="仿宋_GB2312"/>
                <w:sz w:val="24"/>
              </w:rPr>
              <w:t>；评价一般的得9-5</w:t>
            </w:r>
            <w:r>
              <w:rPr>
                <w:rFonts w:ascii="仿宋_GB2312" w:hAnsi="仿宋_GB2312" w:eastAsia="仿宋_GB2312" w:cs="仿宋_GB2312"/>
                <w:sz w:val="24"/>
              </w:rPr>
              <w:t>(</w:t>
            </w:r>
            <w:r>
              <w:rPr>
                <w:rFonts w:hint="eastAsia" w:ascii="仿宋_GB2312" w:hAnsi="仿宋_GB2312" w:eastAsia="仿宋_GB2312" w:cs="仿宋_GB2312"/>
                <w:sz w:val="24"/>
              </w:rPr>
              <w:t>不含5</w:t>
            </w:r>
            <w:r>
              <w:rPr>
                <w:rFonts w:ascii="仿宋_GB2312" w:hAnsi="仿宋_GB2312" w:eastAsia="仿宋_GB2312" w:cs="仿宋_GB2312"/>
                <w:sz w:val="24"/>
              </w:rPr>
              <w:t>)</w:t>
            </w:r>
            <w:r>
              <w:rPr>
                <w:rFonts w:hint="eastAsia" w:ascii="仿宋_GB2312" w:hAnsi="仿宋_GB2312" w:eastAsia="仿宋_GB2312" w:cs="仿宋_GB2312"/>
                <w:sz w:val="24"/>
              </w:rPr>
              <w:t>；评价差的得5-0。</w:t>
            </w:r>
          </w:p>
        </w:tc>
        <w:tc>
          <w:tcPr>
            <w:tcW w:w="925" w:type="dxa"/>
            <w:vAlign w:val="center"/>
          </w:tcPr>
          <w:p>
            <w:pPr>
              <w:widowControl w:val="0"/>
              <w:jc w:val="left"/>
              <w:textAlignment w:val="auto"/>
              <w:rPr>
                <w:rFonts w:ascii="仿宋_GB2312" w:hAnsi="仿宋_GB2312" w:eastAsia="仿宋_GB2312" w:cs="仿宋_GB2312"/>
                <w:sz w:val="24"/>
              </w:rPr>
            </w:pPr>
          </w:p>
        </w:tc>
        <w:tc>
          <w:tcPr>
            <w:tcW w:w="1560" w:type="dxa"/>
            <w:tcBorders>
              <w:top w:val="single" w:color="000000" w:sz="4" w:space="0"/>
              <w:bottom w:val="single" w:color="000000" w:sz="4" w:space="0"/>
              <w:right w:val="single" w:color="000000" w:sz="4" w:space="0"/>
            </w:tcBorders>
            <w:vAlign w:val="center"/>
          </w:tcPr>
          <w:p>
            <w:pPr>
              <w:widowControl w:val="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959"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7</w:t>
            </w:r>
          </w:p>
        </w:tc>
        <w:tc>
          <w:tcPr>
            <w:tcW w:w="1343" w:type="dxa"/>
            <w:vAlign w:val="center"/>
          </w:tcPr>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服务承诺</w:t>
            </w:r>
          </w:p>
          <w:p>
            <w:pPr>
              <w:widowControl w:val="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5分）</w:t>
            </w:r>
          </w:p>
        </w:tc>
        <w:tc>
          <w:tcPr>
            <w:tcW w:w="9355" w:type="dxa"/>
            <w:vAlign w:val="center"/>
          </w:tcPr>
          <w:p>
            <w:pPr>
              <w:textAlignment w:val="auto"/>
              <w:rPr>
                <w:rFonts w:ascii="仿宋_GB2312" w:hAnsi="仿宋_GB2312" w:eastAsia="仿宋_GB2312" w:cs="仿宋_GB2312"/>
                <w:sz w:val="24"/>
              </w:rPr>
            </w:pPr>
            <w:r>
              <w:rPr>
                <w:rFonts w:hint="eastAsia" w:ascii="仿宋_GB2312" w:hAnsi="仿宋_GB2312" w:eastAsia="仿宋_GB2312" w:cs="仿宋_GB2312"/>
                <w:sz w:val="24"/>
              </w:rPr>
              <w:t>根据比选人提供的服务承诺进行综合评价，评价优的得15-9</w:t>
            </w:r>
            <w:r>
              <w:rPr>
                <w:rFonts w:ascii="仿宋_GB2312" w:hAnsi="仿宋_GB2312" w:eastAsia="仿宋_GB2312" w:cs="仿宋_GB2312"/>
                <w:sz w:val="24"/>
              </w:rPr>
              <w:t>(</w:t>
            </w:r>
            <w:r>
              <w:rPr>
                <w:rFonts w:hint="eastAsia" w:ascii="仿宋_GB2312" w:hAnsi="仿宋_GB2312" w:eastAsia="仿宋_GB2312" w:cs="仿宋_GB2312"/>
                <w:sz w:val="24"/>
              </w:rPr>
              <w:t>不含9</w:t>
            </w:r>
            <w:r>
              <w:rPr>
                <w:rFonts w:ascii="仿宋_GB2312" w:hAnsi="仿宋_GB2312" w:eastAsia="仿宋_GB2312" w:cs="仿宋_GB2312"/>
                <w:sz w:val="24"/>
              </w:rPr>
              <w:t>)</w:t>
            </w:r>
            <w:r>
              <w:rPr>
                <w:rFonts w:hint="eastAsia" w:ascii="仿宋_GB2312" w:hAnsi="仿宋_GB2312" w:eastAsia="仿宋_GB2312" w:cs="仿宋_GB2312"/>
                <w:sz w:val="24"/>
              </w:rPr>
              <w:t>；评价良的得9-6</w:t>
            </w:r>
            <w:r>
              <w:rPr>
                <w:rFonts w:ascii="仿宋_GB2312" w:hAnsi="仿宋_GB2312" w:eastAsia="仿宋_GB2312" w:cs="仿宋_GB2312"/>
                <w:sz w:val="24"/>
              </w:rPr>
              <w:t>(</w:t>
            </w:r>
            <w:r>
              <w:rPr>
                <w:rFonts w:hint="eastAsia" w:ascii="仿宋_GB2312" w:hAnsi="仿宋_GB2312" w:eastAsia="仿宋_GB2312" w:cs="仿宋_GB2312"/>
                <w:sz w:val="24"/>
              </w:rPr>
              <w:t>不含6</w:t>
            </w:r>
            <w:r>
              <w:rPr>
                <w:rFonts w:ascii="仿宋_GB2312" w:hAnsi="仿宋_GB2312" w:eastAsia="仿宋_GB2312" w:cs="仿宋_GB2312"/>
                <w:sz w:val="24"/>
              </w:rPr>
              <w:t>)</w:t>
            </w:r>
            <w:r>
              <w:rPr>
                <w:rFonts w:hint="eastAsia" w:ascii="仿宋_GB2312" w:hAnsi="仿宋_GB2312" w:eastAsia="仿宋_GB2312" w:cs="仿宋_GB2312"/>
                <w:sz w:val="24"/>
              </w:rPr>
              <w:t>；评价一般的得6-3</w:t>
            </w:r>
            <w:r>
              <w:rPr>
                <w:rFonts w:ascii="仿宋_GB2312" w:hAnsi="仿宋_GB2312" w:eastAsia="仿宋_GB2312" w:cs="仿宋_GB2312"/>
                <w:sz w:val="24"/>
              </w:rPr>
              <w:t>(</w:t>
            </w:r>
            <w:r>
              <w:rPr>
                <w:rFonts w:hint="eastAsia" w:ascii="仿宋_GB2312" w:hAnsi="仿宋_GB2312" w:eastAsia="仿宋_GB2312" w:cs="仿宋_GB2312"/>
                <w:sz w:val="24"/>
              </w:rPr>
              <w:t>不含3</w:t>
            </w:r>
            <w:r>
              <w:rPr>
                <w:rFonts w:ascii="仿宋_GB2312" w:hAnsi="仿宋_GB2312" w:eastAsia="仿宋_GB2312" w:cs="仿宋_GB2312"/>
                <w:sz w:val="24"/>
              </w:rPr>
              <w:t>)</w:t>
            </w:r>
            <w:r>
              <w:rPr>
                <w:rFonts w:hint="eastAsia" w:ascii="仿宋_GB2312" w:hAnsi="仿宋_GB2312" w:eastAsia="仿宋_GB2312" w:cs="仿宋_GB2312"/>
                <w:sz w:val="24"/>
              </w:rPr>
              <w:t>；评价差的得3-0。</w:t>
            </w:r>
          </w:p>
        </w:tc>
        <w:tc>
          <w:tcPr>
            <w:tcW w:w="925" w:type="dxa"/>
            <w:vAlign w:val="center"/>
          </w:tcPr>
          <w:p>
            <w:pPr>
              <w:widowControl w:val="0"/>
              <w:jc w:val="left"/>
              <w:textAlignment w:val="auto"/>
              <w:rPr>
                <w:rFonts w:ascii="仿宋_GB2312" w:hAnsi="仿宋_GB2312" w:eastAsia="仿宋_GB2312" w:cs="仿宋_GB2312"/>
                <w:sz w:val="24"/>
              </w:rPr>
            </w:pPr>
          </w:p>
        </w:tc>
        <w:tc>
          <w:tcPr>
            <w:tcW w:w="1560" w:type="dxa"/>
            <w:tcBorders>
              <w:top w:val="single" w:color="000000" w:sz="4" w:space="0"/>
              <w:bottom w:val="single" w:color="000000" w:sz="4" w:space="0"/>
              <w:right w:val="single" w:color="000000" w:sz="4" w:space="0"/>
            </w:tcBorders>
            <w:vAlign w:val="center"/>
          </w:tcPr>
          <w:p>
            <w:pPr>
              <w:widowControl w:val="0"/>
              <w:jc w:val="center"/>
              <w:textAlignment w:val="auto"/>
              <w:rPr>
                <w:rFonts w:ascii="仿宋_GB2312" w:hAnsi="仿宋_GB2312" w:eastAsia="仿宋_GB2312" w:cs="仿宋_GB2312"/>
                <w:sz w:val="24"/>
              </w:rPr>
            </w:pPr>
          </w:p>
        </w:tc>
      </w:tr>
    </w:tbl>
    <w:p>
      <w:pPr>
        <w:spacing w:line="480" w:lineRule="exact"/>
        <w:rPr>
          <w:rStyle w:val="10"/>
          <w:rFonts w:ascii="仿宋_GB2312" w:hAnsi="宋体" w:eastAsia="仿宋_GB2312"/>
          <w:b/>
          <w:sz w:val="24"/>
          <w:lang w:val="en-GB"/>
        </w:rPr>
      </w:pPr>
    </w:p>
    <w:sectPr>
      <w:footerReference r:id="rId3" w:type="default"/>
      <w:pgSz w:w="16838" w:h="11906" w:orient="landscape"/>
      <w:pgMar w:top="1531" w:right="1304" w:bottom="153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10"/>
      </w:rPr>
    </w:pPr>
    <w:r>
      <w:rPr>
        <w:rStyle w:val="10"/>
        <w:lang w:val="zh-CN"/>
      </w:rPr>
      <w:t xml:space="preserve">  / </w:t>
    </w:r>
  </w:p>
  <w:p>
    <w:pPr>
      <w:pStyle w:val="3"/>
      <w:rPr>
        <w:rStyle w:val="1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AE"/>
    <w:rsid w:val="0019373D"/>
    <w:rsid w:val="00422AAE"/>
    <w:rsid w:val="00632DF1"/>
    <w:rsid w:val="006D396F"/>
    <w:rsid w:val="008A2E9C"/>
    <w:rsid w:val="00AB0A15"/>
    <w:rsid w:val="00D84B28"/>
    <w:rsid w:val="00EF4A11"/>
    <w:rsid w:val="00F325EF"/>
    <w:rsid w:val="00F50B1D"/>
    <w:rsid w:val="00F54BFB"/>
    <w:rsid w:val="00F84F67"/>
    <w:rsid w:val="5F104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uiPriority w:val="0"/>
    <w:pPr>
      <w:ind w:left="100" w:leftChars="2500"/>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6"/>
    <w:uiPriority w:val="0"/>
    <w:pPr>
      <w:pBdr>
        <w:bottom w:val="single" w:color="000000"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paragraph" w:customStyle="1" w:styleId="8">
    <w:name w:val="Heading2"/>
    <w:basedOn w:val="9"/>
    <w:next w:val="9"/>
    <w:uiPriority w:val="0"/>
    <w:pPr>
      <w:keepNext/>
      <w:keepLines/>
      <w:spacing w:before="260" w:after="260" w:line="416" w:lineRule="auto"/>
      <w:jc w:val="left"/>
    </w:pPr>
    <w:rPr>
      <w:rFonts w:ascii="Arial" w:hAnsi="Arial" w:eastAsia="仿宋_GB2312"/>
      <w:sz w:val="28"/>
      <w:szCs w:val="32"/>
    </w:rPr>
  </w:style>
  <w:style w:type="paragraph" w:customStyle="1" w:styleId="9">
    <w:name w:val="TOC1"/>
    <w:basedOn w:val="1"/>
    <w:next w:val="1"/>
    <w:qFormat/>
    <w:uiPriority w:val="0"/>
  </w:style>
  <w:style w:type="character" w:customStyle="1" w:styleId="10">
    <w:name w:val="NormalCharacter"/>
    <w:qFormat/>
    <w:uiPriority w:val="0"/>
  </w:style>
  <w:style w:type="table" w:customStyle="1" w:styleId="11">
    <w:name w:val="TableNormal"/>
    <w:uiPriority w:val="0"/>
    <w:tblPr>
      <w:tblCellMar>
        <w:top w:w="0" w:type="dxa"/>
        <w:left w:w="0" w:type="dxa"/>
        <w:bottom w:w="0" w:type="dxa"/>
        <w:right w:w="0" w:type="dxa"/>
      </w:tblCellMar>
    </w:tblPr>
  </w:style>
  <w:style w:type="character" w:customStyle="1" w:styleId="12">
    <w:name w:val="页脚 Char"/>
    <w:link w:val="3"/>
    <w:uiPriority w:val="0"/>
    <w:rPr>
      <w:rFonts w:ascii="Times New Roman" w:hAnsi="Times New Roman"/>
      <w:kern w:val="2"/>
      <w:sz w:val="18"/>
      <w:szCs w:val="18"/>
    </w:rPr>
  </w:style>
  <w:style w:type="character" w:customStyle="1" w:styleId="13">
    <w:name w:val="UserStyle_1"/>
    <w:link w:val="14"/>
    <w:uiPriority w:val="0"/>
    <w:rPr>
      <w:rFonts w:ascii="Times New Roman" w:hAnsi="Times New Roman"/>
      <w:kern w:val="2"/>
      <w:sz w:val="24"/>
      <w:szCs w:val="24"/>
    </w:rPr>
  </w:style>
  <w:style w:type="paragraph" w:customStyle="1" w:styleId="14">
    <w:name w:val="BodyTextIndent2"/>
    <w:basedOn w:val="1"/>
    <w:link w:val="13"/>
    <w:uiPriority w:val="0"/>
    <w:pPr>
      <w:ind w:left="1200" w:hanging="1200" w:hangingChars="500"/>
    </w:pPr>
    <w:rPr>
      <w:sz w:val="24"/>
    </w:rPr>
  </w:style>
  <w:style w:type="character" w:customStyle="1" w:styleId="15">
    <w:name w:val="日期 Char"/>
    <w:link w:val="2"/>
    <w:uiPriority w:val="0"/>
    <w:rPr>
      <w:rFonts w:ascii="Times New Roman" w:hAnsi="Times New Roman"/>
      <w:kern w:val="2"/>
      <w:sz w:val="21"/>
      <w:szCs w:val="24"/>
    </w:rPr>
  </w:style>
  <w:style w:type="character" w:customStyle="1" w:styleId="16">
    <w:name w:val="页眉 Char"/>
    <w:link w:val="4"/>
    <w:uiPriority w:val="0"/>
    <w:rPr>
      <w:rFonts w:ascii="Times New Roman" w:hAnsi="Times New Roman"/>
      <w:kern w:val="2"/>
      <w:sz w:val="18"/>
      <w:szCs w:val="18"/>
    </w:rPr>
  </w:style>
  <w:style w:type="character" w:customStyle="1" w:styleId="17">
    <w:name w:val="UserStyle_4"/>
    <w:link w:val="18"/>
    <w:qFormat/>
    <w:uiPriority w:val="0"/>
    <w:rPr>
      <w:rFonts w:ascii="Times New Roman" w:hAnsi="Times New Roman"/>
      <w:kern w:val="2"/>
      <w:sz w:val="18"/>
      <w:szCs w:val="18"/>
    </w:rPr>
  </w:style>
  <w:style w:type="paragraph" w:customStyle="1" w:styleId="18">
    <w:name w:val="Acetate"/>
    <w:basedOn w:val="1"/>
    <w:link w:val="17"/>
    <w:qFormat/>
    <w:uiPriority w:val="0"/>
    <w:rPr>
      <w:sz w:val="18"/>
      <w:szCs w:val="18"/>
    </w:rPr>
  </w:style>
  <w:style w:type="character" w:customStyle="1" w:styleId="19">
    <w:name w:val="UserStyle_5"/>
    <w:uiPriority w:val="0"/>
    <w:rPr>
      <w:rFonts w:ascii="Arial" w:hAnsi="Arial" w:eastAsia="仿宋_GB2312" w:cs="Times New Roman"/>
      <w:bCs/>
      <w:kern w:val="2"/>
      <w:sz w:val="28"/>
      <w:szCs w:val="32"/>
    </w:rPr>
  </w:style>
  <w:style w:type="character" w:customStyle="1" w:styleId="20">
    <w:name w:val="UserStyle_6"/>
    <w:link w:val="21"/>
    <w:uiPriority w:val="0"/>
    <w:rPr>
      <w:rFonts w:ascii="Times New Roman" w:hAnsi="Times New Roman"/>
      <w:kern w:val="2"/>
      <w:sz w:val="21"/>
      <w:szCs w:val="24"/>
    </w:rPr>
  </w:style>
  <w:style w:type="paragraph" w:customStyle="1" w:styleId="21">
    <w:name w:val="BodyText"/>
    <w:basedOn w:val="1"/>
    <w:link w:val="20"/>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1585</Words>
  <Characters>1709</Characters>
  <Lines>12</Lines>
  <Paragraphs>3</Paragraphs>
  <TotalTime>3</TotalTime>
  <ScaleCrop>false</ScaleCrop>
  <LinksUpToDate>false</LinksUpToDate>
  <CharactersWithSpaces>1726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2022-04-25T03:25:00Z</dcterms:created>
  <dc:creator>Administrator</dc:creator>
  <cp:lastModifiedBy>Administrator</cp:lastModifiedBy>
  <dcterms:modified xsi:type="dcterms:W3CDTF">2022-04-25T04:35:49Z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eyJoZGlkIjoiMThhZmRlYmE0NWY3ZTg1Y2I4MTk2MDBjZTY2OGFmZTAifQ==</vt:lpwstr>
  </property>
  <property fmtid="{D5CDD505-2E9C-101B-9397-08002B2CF9AE}" pid="3" name="KSOProductBuildVer">
    <vt:lpwstr>2052-11.1.0.11636</vt:lpwstr>
  </property>
  <property fmtid="{D5CDD505-2E9C-101B-9397-08002B2CF9AE}" pid="4" name="ICV">
    <vt:lpwstr>2552CA84EA504728A35D30D37555AE84</vt:lpwstr>
  </property>
</Properties>
</file>