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cs="方正小标宋简体"/>
          <w:sz w:val="36"/>
          <w:szCs w:val="36"/>
        </w:rPr>
      </w:pPr>
      <w:r>
        <w:rPr>
          <w:rFonts w:hint="eastAsia" w:cs="仿宋_GB2312"/>
          <w:b/>
          <w:bCs/>
          <w:sz w:val="32"/>
          <w:szCs w:val="32"/>
        </w:rPr>
        <w:t>附件</w:t>
      </w:r>
      <w:bookmarkStart w:id="4" w:name="_GoBack"/>
      <w:bookmarkEnd w:id="4"/>
    </w:p>
    <w:p>
      <w:pPr>
        <w:spacing w:line="240" w:lineRule="auto"/>
        <w:ind w:firstLine="0" w:firstLineChars="0"/>
        <w:jc w:val="center"/>
        <w:rPr>
          <w:rFonts w:cs="方正小标宋简体"/>
          <w:b/>
          <w:bCs/>
          <w:sz w:val="36"/>
          <w:szCs w:val="36"/>
        </w:rPr>
      </w:pPr>
      <w:r>
        <w:rPr>
          <w:rFonts w:hint="eastAsia" w:cs="方正小标宋简体"/>
          <w:b/>
          <w:bCs/>
          <w:sz w:val="36"/>
          <w:szCs w:val="36"/>
        </w:rPr>
        <w:t>评审标准</w:t>
      </w:r>
    </w:p>
    <w:tbl>
      <w:tblPr>
        <w:tblStyle w:val="17"/>
        <w:tblpPr w:leftFromText="180" w:rightFromText="180" w:vertAnchor="text" w:horzAnchor="page" w:tblpXSpec="center" w:tblpY="630"/>
        <w:tblOverlap w:val="never"/>
        <w:tblW w:w="9639" w:type="dxa"/>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828"/>
        <w:gridCol w:w="142"/>
        <w:gridCol w:w="1725"/>
        <w:gridCol w:w="6944"/>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76" w:hRule="atLeast"/>
          <w:jc w:val="center"/>
        </w:trPr>
        <w:tc>
          <w:tcPr>
            <w:tcW w:w="970" w:type="dxa"/>
            <w:gridSpan w:val="2"/>
            <w:vAlign w:val="center"/>
          </w:tcPr>
          <w:p>
            <w:pPr>
              <w:spacing w:line="240" w:lineRule="auto"/>
              <w:ind w:firstLine="0" w:firstLineChars="0"/>
              <w:rPr>
                <w:rFonts w:cs="黑体"/>
                <w:sz w:val="21"/>
                <w:szCs w:val="21"/>
              </w:rPr>
            </w:pPr>
            <w:r>
              <w:rPr>
                <w:rFonts w:hint="eastAsia" w:cs="黑体"/>
                <w:sz w:val="21"/>
                <w:szCs w:val="21"/>
              </w:rPr>
              <w:t>F1</w:t>
            </w:r>
          </w:p>
        </w:tc>
        <w:tc>
          <w:tcPr>
            <w:tcW w:w="8669" w:type="dxa"/>
            <w:gridSpan w:val="2"/>
            <w:vAlign w:val="center"/>
          </w:tcPr>
          <w:p>
            <w:pPr>
              <w:spacing w:line="240" w:lineRule="auto"/>
              <w:ind w:firstLine="0" w:firstLineChars="0"/>
              <w:rPr>
                <w:rFonts w:cs="黑体"/>
                <w:sz w:val="21"/>
                <w:szCs w:val="21"/>
              </w:rPr>
            </w:pPr>
            <w:r>
              <w:rPr>
                <w:rFonts w:hint="eastAsia" w:cs="黑体"/>
                <w:sz w:val="21"/>
                <w:szCs w:val="21"/>
              </w:rPr>
              <w:t>投标报价（</w:t>
            </w:r>
            <w:r>
              <w:rPr>
                <w:rFonts w:cs="黑体"/>
                <w:sz w:val="21"/>
                <w:szCs w:val="21"/>
              </w:rPr>
              <w:t>3</w:t>
            </w:r>
            <w:r>
              <w:rPr>
                <w:rFonts w:hint="eastAsia" w:cs="黑体"/>
                <w:sz w:val="21"/>
                <w:szCs w:val="21"/>
              </w:rPr>
              <w:t>0分）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227" w:hRule="atLeast"/>
          <w:jc w:val="center"/>
        </w:trPr>
        <w:tc>
          <w:tcPr>
            <w:tcW w:w="9639" w:type="dxa"/>
            <w:gridSpan w:val="4"/>
            <w:vAlign w:val="center"/>
          </w:tcPr>
          <w:p>
            <w:pPr>
              <w:spacing w:line="240" w:lineRule="auto"/>
              <w:ind w:firstLine="0" w:firstLineChars="0"/>
              <w:rPr>
                <w:rFonts w:cs="仿宋_GB2312"/>
                <w:sz w:val="21"/>
                <w:szCs w:val="21"/>
              </w:rPr>
            </w:pPr>
            <w:r>
              <w:rPr>
                <w:rFonts w:hint="eastAsia" w:cs="仿宋_GB2312"/>
                <w:sz w:val="21"/>
                <w:szCs w:val="21"/>
              </w:rPr>
              <w:t>评审合格的投标人投标报价算术平均值作为评审基准价。</w:t>
            </w:r>
          </w:p>
          <w:p>
            <w:pPr>
              <w:spacing w:line="240" w:lineRule="auto"/>
              <w:ind w:firstLine="0" w:firstLineChars="0"/>
              <w:rPr>
                <w:rFonts w:cs="仿宋_GB2312"/>
                <w:sz w:val="21"/>
                <w:szCs w:val="21"/>
              </w:rPr>
            </w:pPr>
            <w:r>
              <w:rPr>
                <w:rFonts w:hint="eastAsia" w:cs="仿宋_GB2312"/>
                <w:sz w:val="21"/>
                <w:szCs w:val="21"/>
              </w:rPr>
              <w:t>投标报价得分＝（评标基准价／投标报价）×价格分权值×100</w:t>
            </w:r>
          </w:p>
          <w:p>
            <w:pPr>
              <w:spacing w:line="240" w:lineRule="auto"/>
              <w:ind w:firstLine="0" w:firstLineChars="0"/>
              <w:rPr>
                <w:rFonts w:cs="仿宋_GB2312"/>
                <w:sz w:val="21"/>
                <w:szCs w:val="21"/>
              </w:rPr>
            </w:pPr>
            <w:r>
              <w:rPr>
                <w:rFonts w:hint="eastAsia" w:cs="仿宋_GB2312"/>
                <w:sz w:val="21"/>
                <w:szCs w:val="21"/>
              </w:rPr>
              <w:t xml:space="preserve">注：(1)低于项目预算价格50%的报价为无效报价，不作为评标基准价 </w:t>
            </w:r>
          </w:p>
          <w:p>
            <w:pPr>
              <w:spacing w:line="240" w:lineRule="auto"/>
              <w:ind w:firstLine="0" w:firstLineChars="0"/>
              <w:rPr>
                <w:rFonts w:cs="仿宋_GB2312"/>
                <w:sz w:val="21"/>
                <w:szCs w:val="21"/>
              </w:rPr>
            </w:pPr>
            <w:r>
              <w:rPr>
                <w:rFonts w:hint="eastAsia" w:cs="仿宋_GB2312"/>
                <w:sz w:val="21"/>
                <w:szCs w:val="21"/>
              </w:rPr>
              <w:t xml:space="preserve">    (2)投标报价得分取两位小数，第三位四舍五入。</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85" w:hRule="atLeast"/>
          <w:jc w:val="center"/>
        </w:trPr>
        <w:tc>
          <w:tcPr>
            <w:tcW w:w="828" w:type="dxa"/>
            <w:vAlign w:val="center"/>
          </w:tcPr>
          <w:p>
            <w:pPr>
              <w:spacing w:line="240" w:lineRule="auto"/>
              <w:ind w:firstLine="0" w:firstLineChars="0"/>
              <w:rPr>
                <w:rFonts w:cs="黑体"/>
                <w:sz w:val="21"/>
                <w:szCs w:val="21"/>
              </w:rPr>
            </w:pPr>
            <w:r>
              <w:rPr>
                <w:rFonts w:hint="eastAsia" w:cs="黑体"/>
                <w:sz w:val="21"/>
                <w:szCs w:val="21"/>
              </w:rPr>
              <w:t>F2</w:t>
            </w:r>
          </w:p>
        </w:tc>
        <w:tc>
          <w:tcPr>
            <w:tcW w:w="8811" w:type="dxa"/>
            <w:gridSpan w:val="3"/>
            <w:vAlign w:val="center"/>
          </w:tcPr>
          <w:p>
            <w:pPr>
              <w:spacing w:line="240" w:lineRule="auto"/>
              <w:ind w:firstLine="0" w:firstLineChars="0"/>
              <w:rPr>
                <w:rFonts w:cs="黑体"/>
                <w:sz w:val="21"/>
                <w:szCs w:val="21"/>
              </w:rPr>
            </w:pPr>
            <w:r>
              <w:rPr>
                <w:rFonts w:hint="eastAsia" w:cs="黑体"/>
                <w:sz w:val="21"/>
                <w:szCs w:val="21"/>
              </w:rPr>
              <w:t>技术分（2</w:t>
            </w:r>
            <w:r>
              <w:rPr>
                <w:rFonts w:cs="黑体"/>
                <w:sz w:val="21"/>
                <w:szCs w:val="21"/>
              </w:rPr>
              <w:t>5</w:t>
            </w:r>
            <w:r>
              <w:rPr>
                <w:rFonts w:hint="eastAsia" w:cs="黑体"/>
                <w:sz w:val="21"/>
                <w:szCs w:val="21"/>
              </w:rPr>
              <w:t>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35"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序号</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评审内容</w:t>
            </w:r>
          </w:p>
        </w:tc>
        <w:tc>
          <w:tcPr>
            <w:tcW w:w="6944" w:type="dxa"/>
            <w:vAlign w:val="center"/>
          </w:tcPr>
          <w:p>
            <w:pPr>
              <w:spacing w:line="240" w:lineRule="auto"/>
              <w:ind w:firstLine="0" w:firstLineChars="0"/>
              <w:rPr>
                <w:rFonts w:cs="仿宋_GB2312"/>
                <w:sz w:val="21"/>
                <w:szCs w:val="21"/>
              </w:rPr>
            </w:pPr>
            <w:r>
              <w:rPr>
                <w:rFonts w:hint="eastAsia" w:cs="仿宋_GB2312"/>
                <w:sz w:val="21"/>
                <w:szCs w:val="21"/>
              </w:rPr>
              <w:t>评分标准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290"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1</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整体安全服务方案评定</w:t>
            </w:r>
          </w:p>
          <w:p>
            <w:pPr>
              <w:spacing w:line="240" w:lineRule="auto"/>
              <w:ind w:firstLine="0" w:firstLineChars="0"/>
              <w:rPr>
                <w:rFonts w:cs="仿宋_GB2312"/>
                <w:sz w:val="21"/>
                <w:szCs w:val="21"/>
              </w:rPr>
            </w:pPr>
            <w:r>
              <w:rPr>
                <w:rFonts w:hint="eastAsia" w:cs="仿宋_GB2312"/>
                <w:sz w:val="21"/>
                <w:szCs w:val="21"/>
              </w:rPr>
              <w:t>（满分15分）</w:t>
            </w:r>
          </w:p>
        </w:tc>
        <w:tc>
          <w:tcPr>
            <w:tcW w:w="6944" w:type="dxa"/>
            <w:vAlign w:val="center"/>
          </w:tcPr>
          <w:p>
            <w:pPr>
              <w:spacing w:line="240" w:lineRule="auto"/>
              <w:ind w:firstLine="0" w:firstLineChars="0"/>
              <w:rPr>
                <w:rFonts w:cs="仿宋_GB2312"/>
                <w:sz w:val="21"/>
                <w:szCs w:val="21"/>
              </w:rPr>
            </w:pPr>
            <w:r>
              <w:rPr>
                <w:rFonts w:hint="eastAsia" w:cs="仿宋_GB2312"/>
                <w:sz w:val="21"/>
                <w:szCs w:val="21"/>
              </w:rPr>
              <w:t>依据各投标人项目实施方案中所包含的等保测评服务内容等服务流程步骤、使用方法、使用工具、保密措施、项目管理制度、风险防范措施、服务方式、售后服务等内容进行比较，根据内容的详细丰富程度、管理制度的规范性、科学性和先进性，以及保密措施、风险防范措施的有效性和可操作性进行评比打分：</w:t>
            </w:r>
          </w:p>
          <w:p>
            <w:pPr>
              <w:spacing w:line="240" w:lineRule="auto"/>
              <w:ind w:firstLine="0" w:firstLineChars="0"/>
              <w:rPr>
                <w:rFonts w:cs="仿宋_GB2312"/>
                <w:sz w:val="21"/>
                <w:szCs w:val="21"/>
              </w:rPr>
            </w:pPr>
            <w:r>
              <w:rPr>
                <w:rFonts w:hint="eastAsia" w:cs="仿宋_GB2312"/>
                <w:sz w:val="21"/>
                <w:szCs w:val="21"/>
              </w:rPr>
              <w:t>综合评定为优的，得13-15分；</w:t>
            </w:r>
          </w:p>
          <w:p>
            <w:pPr>
              <w:spacing w:line="240" w:lineRule="auto"/>
              <w:ind w:firstLine="0" w:firstLineChars="0"/>
              <w:rPr>
                <w:rFonts w:cs="仿宋_GB2312"/>
                <w:sz w:val="21"/>
                <w:szCs w:val="21"/>
              </w:rPr>
            </w:pPr>
            <w:r>
              <w:rPr>
                <w:rFonts w:hint="eastAsia" w:cs="仿宋_GB2312"/>
                <w:sz w:val="21"/>
                <w:szCs w:val="21"/>
              </w:rPr>
              <w:t>综合评定为良的，得9-12分；</w:t>
            </w:r>
          </w:p>
          <w:p>
            <w:pPr>
              <w:spacing w:line="240" w:lineRule="auto"/>
              <w:ind w:firstLine="0" w:firstLineChars="0"/>
              <w:rPr>
                <w:rFonts w:cs="仿宋_GB2312"/>
                <w:sz w:val="21"/>
                <w:szCs w:val="21"/>
              </w:rPr>
            </w:pPr>
            <w:r>
              <w:rPr>
                <w:rFonts w:hint="eastAsia" w:cs="仿宋_GB2312"/>
                <w:sz w:val="21"/>
                <w:szCs w:val="21"/>
              </w:rPr>
              <w:t>综合评定为中的，得5-8分；</w:t>
            </w:r>
          </w:p>
          <w:p>
            <w:pPr>
              <w:spacing w:line="240" w:lineRule="auto"/>
              <w:ind w:firstLine="0" w:firstLineChars="0"/>
              <w:rPr>
                <w:rFonts w:cs="仿宋_GB2312"/>
                <w:sz w:val="21"/>
                <w:szCs w:val="21"/>
              </w:rPr>
            </w:pPr>
            <w:r>
              <w:rPr>
                <w:rFonts w:hint="eastAsia" w:cs="仿宋_GB2312"/>
                <w:sz w:val="21"/>
                <w:szCs w:val="21"/>
              </w:rPr>
              <w:t>综合评定为差的，得0-4分。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64"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2</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安全工具要求（1</w:t>
            </w:r>
            <w:r>
              <w:rPr>
                <w:rFonts w:cs="仿宋_GB2312"/>
                <w:sz w:val="21"/>
                <w:szCs w:val="21"/>
              </w:rPr>
              <w:t>0</w:t>
            </w:r>
            <w:r>
              <w:rPr>
                <w:rFonts w:hint="eastAsia" w:cs="仿宋_GB2312"/>
                <w:sz w:val="21"/>
                <w:szCs w:val="21"/>
              </w:rPr>
              <w:t>分）</w:t>
            </w:r>
          </w:p>
        </w:tc>
        <w:tc>
          <w:tcPr>
            <w:tcW w:w="6944" w:type="dxa"/>
            <w:vAlign w:val="center"/>
          </w:tcPr>
          <w:p>
            <w:pPr>
              <w:spacing w:line="240" w:lineRule="auto"/>
              <w:ind w:firstLine="0" w:firstLineChars="0"/>
              <w:rPr>
                <w:rFonts w:cs="仿宋_GB2312"/>
                <w:sz w:val="21"/>
                <w:szCs w:val="21"/>
              </w:rPr>
            </w:pPr>
            <w:r>
              <w:rPr>
                <w:rFonts w:hint="eastAsia" w:cs="仿宋_GB2312"/>
                <w:sz w:val="21"/>
                <w:szCs w:val="21"/>
              </w:rPr>
              <w:t>1.投标人服务期间所选用的安全工具中包含有漏洞扫描工具；</w:t>
            </w:r>
          </w:p>
          <w:p>
            <w:pPr>
              <w:spacing w:line="240" w:lineRule="auto"/>
              <w:ind w:firstLine="0" w:firstLineChars="0"/>
              <w:rPr>
                <w:rFonts w:cs="仿宋_GB2312"/>
                <w:sz w:val="21"/>
                <w:szCs w:val="21"/>
              </w:rPr>
            </w:pPr>
            <w:r>
              <w:rPr>
                <w:rFonts w:hint="eastAsia" w:cs="仿宋_GB2312"/>
                <w:sz w:val="21"/>
                <w:szCs w:val="21"/>
              </w:rPr>
              <w:t>2.投标人服务期间所选用的安全工具中包含有W</w:t>
            </w:r>
            <w:r>
              <w:rPr>
                <w:rFonts w:cs="仿宋_GB2312"/>
                <w:sz w:val="21"/>
                <w:szCs w:val="21"/>
              </w:rPr>
              <w:t>EB</w:t>
            </w:r>
            <w:r>
              <w:rPr>
                <w:rFonts w:hint="eastAsia" w:cs="仿宋_GB2312"/>
                <w:sz w:val="21"/>
                <w:szCs w:val="21"/>
              </w:rPr>
              <w:t>应用扫描工具；</w:t>
            </w:r>
          </w:p>
          <w:p>
            <w:pPr>
              <w:spacing w:line="240" w:lineRule="auto"/>
              <w:ind w:firstLine="0" w:firstLineChars="0"/>
              <w:rPr>
                <w:rFonts w:cs="仿宋_GB2312"/>
                <w:sz w:val="21"/>
                <w:szCs w:val="21"/>
              </w:rPr>
            </w:pPr>
            <w:r>
              <w:rPr>
                <w:rFonts w:hint="eastAsia" w:cs="仿宋_GB2312"/>
                <w:sz w:val="21"/>
                <w:szCs w:val="21"/>
              </w:rPr>
              <w:t>3.投标人服务期间所选用的安全工具中包含有数据库核查工具；</w:t>
            </w:r>
          </w:p>
          <w:p>
            <w:pPr>
              <w:spacing w:line="240" w:lineRule="auto"/>
              <w:ind w:firstLine="0" w:firstLineChars="0"/>
              <w:rPr>
                <w:rFonts w:cs="仿宋_GB2312"/>
                <w:sz w:val="21"/>
                <w:szCs w:val="21"/>
              </w:rPr>
            </w:pPr>
            <w:r>
              <w:rPr>
                <w:rFonts w:hint="eastAsia" w:cs="仿宋_GB2312"/>
                <w:sz w:val="21"/>
                <w:szCs w:val="21"/>
              </w:rPr>
              <w:t>4.投标人服务期间所选用的安全工具中包含有网络检查工具；</w:t>
            </w:r>
          </w:p>
          <w:p>
            <w:pPr>
              <w:spacing w:line="240" w:lineRule="auto"/>
              <w:ind w:firstLine="0" w:firstLineChars="0"/>
              <w:rPr>
                <w:rFonts w:cs="仿宋_GB2312"/>
                <w:sz w:val="21"/>
                <w:szCs w:val="21"/>
              </w:rPr>
            </w:pPr>
            <w:r>
              <w:rPr>
                <w:rFonts w:hint="eastAsia" w:cs="仿宋_GB2312"/>
                <w:sz w:val="21"/>
                <w:szCs w:val="21"/>
              </w:rPr>
              <w:t>5.投标人服务期间所选用的安全工具中包含恶意代码检查、终端安全检查工具。</w:t>
            </w:r>
          </w:p>
          <w:p>
            <w:pPr>
              <w:spacing w:line="240" w:lineRule="auto"/>
              <w:ind w:firstLine="0" w:firstLineChars="0"/>
              <w:rPr>
                <w:rFonts w:cs="仿宋_GB2312"/>
                <w:sz w:val="21"/>
                <w:szCs w:val="21"/>
              </w:rPr>
            </w:pPr>
            <w:r>
              <w:rPr>
                <w:rFonts w:hint="eastAsia" w:cs="仿宋_GB2312"/>
                <w:sz w:val="21"/>
                <w:szCs w:val="21"/>
              </w:rPr>
              <w:t>每项</w:t>
            </w:r>
            <w:r>
              <w:rPr>
                <w:rFonts w:cs="仿宋_GB2312"/>
                <w:sz w:val="21"/>
                <w:szCs w:val="21"/>
              </w:rPr>
              <w:t>2</w:t>
            </w:r>
            <w:r>
              <w:rPr>
                <w:rFonts w:hint="eastAsia" w:cs="仿宋_GB2312"/>
                <w:sz w:val="21"/>
                <w:szCs w:val="21"/>
              </w:rPr>
              <w:t>分；满分1</w:t>
            </w:r>
            <w:r>
              <w:rPr>
                <w:rFonts w:cs="仿宋_GB2312"/>
                <w:sz w:val="21"/>
                <w:szCs w:val="21"/>
              </w:rPr>
              <w:t>0</w:t>
            </w:r>
            <w:r>
              <w:rPr>
                <w:rFonts w:hint="eastAsia" w:cs="仿宋_GB2312"/>
                <w:sz w:val="21"/>
                <w:szCs w:val="21"/>
              </w:rPr>
              <w:t>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cantSplit/>
          <w:trHeight w:val="586" w:hRule="atLeast"/>
          <w:jc w:val="center"/>
        </w:trPr>
        <w:tc>
          <w:tcPr>
            <w:tcW w:w="828" w:type="dxa"/>
            <w:vAlign w:val="center"/>
          </w:tcPr>
          <w:p>
            <w:pPr>
              <w:spacing w:line="240" w:lineRule="auto"/>
              <w:ind w:firstLine="0" w:firstLineChars="0"/>
              <w:rPr>
                <w:rFonts w:cs="黑体"/>
                <w:sz w:val="21"/>
                <w:szCs w:val="21"/>
              </w:rPr>
            </w:pPr>
            <w:r>
              <w:rPr>
                <w:rFonts w:hint="eastAsia" w:cs="黑体"/>
                <w:sz w:val="21"/>
                <w:szCs w:val="21"/>
              </w:rPr>
              <w:t>F3</w:t>
            </w:r>
          </w:p>
        </w:tc>
        <w:tc>
          <w:tcPr>
            <w:tcW w:w="8811" w:type="dxa"/>
            <w:gridSpan w:val="3"/>
            <w:vAlign w:val="center"/>
          </w:tcPr>
          <w:p>
            <w:pPr>
              <w:spacing w:line="240" w:lineRule="auto"/>
              <w:ind w:firstLine="0" w:firstLineChars="0"/>
              <w:rPr>
                <w:rFonts w:cs="黑体"/>
                <w:sz w:val="21"/>
                <w:szCs w:val="21"/>
              </w:rPr>
            </w:pPr>
            <w:r>
              <w:rPr>
                <w:rFonts w:hint="eastAsia" w:cs="黑体"/>
                <w:sz w:val="21"/>
                <w:szCs w:val="21"/>
              </w:rPr>
              <w:t>商务分（45分）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cantSplit/>
          <w:trHeight w:val="3886"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1</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资质及能力（满分15分）</w:t>
            </w:r>
          </w:p>
        </w:tc>
        <w:tc>
          <w:tcPr>
            <w:tcW w:w="6944" w:type="dxa"/>
            <w:vAlign w:val="center"/>
          </w:tcPr>
          <w:p>
            <w:pPr>
              <w:spacing w:line="240" w:lineRule="auto"/>
              <w:ind w:firstLine="0" w:firstLineChars="0"/>
              <w:rPr>
                <w:rFonts w:cs="仿宋_GB2312"/>
                <w:sz w:val="21"/>
                <w:szCs w:val="21"/>
              </w:rPr>
            </w:pPr>
            <w:bookmarkStart w:id="0" w:name="_Toc482173715"/>
            <w:bookmarkStart w:id="1" w:name="_Toc468392343"/>
            <w:bookmarkStart w:id="2" w:name="_Toc485891837"/>
            <w:bookmarkStart w:id="3" w:name="_Toc485854847"/>
            <w:r>
              <w:rPr>
                <w:rFonts w:hint="eastAsia" w:cs="仿宋_GB2312"/>
                <w:sz w:val="21"/>
                <w:szCs w:val="21"/>
              </w:rPr>
              <w:t>1.中国合格评定国家认可委员会颁发的检验机构认可证书CNAS</w:t>
            </w:r>
            <w:bookmarkEnd w:id="0"/>
            <w:bookmarkEnd w:id="1"/>
            <w:bookmarkEnd w:id="2"/>
            <w:bookmarkEnd w:id="3"/>
            <w:r>
              <w:rPr>
                <w:rFonts w:hint="eastAsia" w:cs="仿宋_GB2312"/>
                <w:sz w:val="21"/>
                <w:szCs w:val="21"/>
              </w:rPr>
              <w:t>，得3分；</w:t>
            </w:r>
          </w:p>
          <w:p>
            <w:pPr>
              <w:spacing w:line="240" w:lineRule="auto"/>
              <w:ind w:firstLine="0" w:firstLineChars="0"/>
              <w:rPr>
                <w:rFonts w:cs="仿宋_GB2312"/>
                <w:sz w:val="21"/>
                <w:szCs w:val="21"/>
              </w:rPr>
            </w:pPr>
            <w:r>
              <w:rPr>
                <w:rFonts w:hint="eastAsia" w:cs="仿宋_GB2312"/>
                <w:sz w:val="21"/>
                <w:szCs w:val="21"/>
              </w:rPr>
              <w:t>2</w:t>
            </w:r>
            <w:r>
              <w:rPr>
                <w:rFonts w:cs="仿宋_GB2312"/>
                <w:sz w:val="21"/>
                <w:szCs w:val="21"/>
              </w:rPr>
              <w:t>.信息安全管理体系证书</w:t>
            </w:r>
            <w:r>
              <w:rPr>
                <w:rFonts w:hint="eastAsia" w:cs="仿宋_GB2312"/>
                <w:sz w:val="21"/>
                <w:szCs w:val="21"/>
              </w:rPr>
              <w:t>（</w:t>
            </w:r>
            <w:r>
              <w:rPr>
                <w:rFonts w:cs="仿宋_GB2312"/>
                <w:sz w:val="21"/>
                <w:szCs w:val="21"/>
              </w:rPr>
              <w:t>IS0 27001</w:t>
            </w:r>
            <w:r>
              <w:rPr>
                <w:rFonts w:hint="eastAsia" w:cs="仿宋_GB2312"/>
                <w:sz w:val="21"/>
                <w:szCs w:val="21"/>
              </w:rPr>
              <w:t>），得2分；</w:t>
            </w:r>
          </w:p>
          <w:p>
            <w:pPr>
              <w:spacing w:line="240" w:lineRule="auto"/>
              <w:ind w:firstLine="0" w:firstLineChars="0"/>
              <w:rPr>
                <w:rFonts w:cs="仿宋_GB2312"/>
                <w:sz w:val="21"/>
                <w:szCs w:val="21"/>
              </w:rPr>
            </w:pPr>
            <w:r>
              <w:rPr>
                <w:rFonts w:cs="仿宋_GB2312"/>
                <w:sz w:val="21"/>
                <w:szCs w:val="21"/>
              </w:rPr>
              <w:t>3.</w:t>
            </w:r>
            <w:r>
              <w:rPr>
                <w:rFonts w:hint="eastAsia" w:cs="仿宋_GB2312"/>
                <w:sz w:val="21"/>
                <w:szCs w:val="21"/>
              </w:rPr>
              <w:t>中国网络安全审查技术与认证中心信息安全风险评估服务资质认证证书，得</w:t>
            </w:r>
            <w:r>
              <w:rPr>
                <w:rFonts w:cs="仿宋_GB2312"/>
                <w:sz w:val="21"/>
                <w:szCs w:val="21"/>
              </w:rPr>
              <w:t>2</w:t>
            </w:r>
            <w:r>
              <w:rPr>
                <w:rFonts w:hint="eastAsia" w:cs="仿宋_GB2312"/>
                <w:sz w:val="21"/>
                <w:szCs w:val="21"/>
              </w:rPr>
              <w:t>分；</w:t>
            </w:r>
          </w:p>
          <w:p>
            <w:pPr>
              <w:spacing w:line="240" w:lineRule="auto"/>
              <w:ind w:firstLine="0" w:firstLineChars="0"/>
              <w:rPr>
                <w:rFonts w:cs="仿宋_GB2312"/>
                <w:sz w:val="21"/>
                <w:szCs w:val="21"/>
              </w:rPr>
            </w:pPr>
            <w:r>
              <w:rPr>
                <w:rFonts w:cs="仿宋_GB2312"/>
                <w:sz w:val="21"/>
                <w:szCs w:val="21"/>
              </w:rPr>
              <w:t>4.</w:t>
            </w:r>
            <w:r>
              <w:rPr>
                <w:rFonts w:hint="eastAsia" w:cs="仿宋_GB2312"/>
                <w:sz w:val="21"/>
                <w:szCs w:val="21"/>
              </w:rPr>
              <w:t>近</w:t>
            </w:r>
            <w:r>
              <w:rPr>
                <w:rFonts w:cs="仿宋_GB2312"/>
                <w:sz w:val="21"/>
                <w:szCs w:val="21"/>
              </w:rPr>
              <w:t>3</w:t>
            </w:r>
            <w:r>
              <w:rPr>
                <w:rFonts w:hint="eastAsia" w:cs="仿宋_GB2312"/>
                <w:sz w:val="21"/>
                <w:szCs w:val="21"/>
              </w:rPr>
              <w:t>年（2019-2022年度）被国家网络安全等级保护管理机关授予过安全等级保护测评相关荣誉证书，得</w:t>
            </w:r>
            <w:r>
              <w:rPr>
                <w:rFonts w:cs="仿宋_GB2312"/>
                <w:sz w:val="21"/>
                <w:szCs w:val="21"/>
              </w:rPr>
              <w:t>2</w:t>
            </w:r>
            <w:r>
              <w:rPr>
                <w:rFonts w:hint="eastAsia" w:cs="仿宋_GB2312"/>
                <w:sz w:val="21"/>
                <w:szCs w:val="21"/>
              </w:rPr>
              <w:t>分；</w:t>
            </w:r>
          </w:p>
          <w:p>
            <w:pPr>
              <w:spacing w:line="240" w:lineRule="auto"/>
              <w:ind w:firstLine="0" w:firstLineChars="0"/>
              <w:rPr>
                <w:rFonts w:cs="仿宋_GB2312"/>
                <w:sz w:val="21"/>
                <w:szCs w:val="21"/>
              </w:rPr>
            </w:pPr>
            <w:r>
              <w:rPr>
                <w:rFonts w:cs="仿宋_GB2312"/>
                <w:sz w:val="21"/>
                <w:szCs w:val="21"/>
              </w:rPr>
              <w:t>5.</w:t>
            </w:r>
            <w:r>
              <w:rPr>
                <w:rFonts w:hint="eastAsia" w:cs="仿宋_GB2312"/>
                <w:sz w:val="21"/>
                <w:szCs w:val="21"/>
              </w:rPr>
              <w:t>国家信息安全漏洞库（CN</w:t>
            </w:r>
            <w:r>
              <w:rPr>
                <w:rFonts w:cs="仿宋_GB2312"/>
                <w:sz w:val="21"/>
                <w:szCs w:val="21"/>
              </w:rPr>
              <w:t>N</w:t>
            </w:r>
            <w:r>
              <w:rPr>
                <w:rFonts w:hint="eastAsia" w:cs="仿宋_GB2312"/>
                <w:sz w:val="21"/>
                <w:szCs w:val="21"/>
              </w:rPr>
              <w:t>VD）技术支撑单位证书得2分。</w:t>
            </w:r>
          </w:p>
          <w:p>
            <w:pPr>
              <w:spacing w:line="240" w:lineRule="auto"/>
              <w:ind w:firstLine="0" w:firstLineChars="0"/>
              <w:rPr>
                <w:rFonts w:cs="仿宋_GB2312"/>
                <w:sz w:val="21"/>
                <w:szCs w:val="21"/>
              </w:rPr>
            </w:pPr>
            <w:r>
              <w:rPr>
                <w:rFonts w:hint="eastAsia" w:cs="仿宋_GB2312"/>
                <w:sz w:val="21"/>
                <w:szCs w:val="21"/>
              </w:rPr>
              <w:t>6.投标人具备中国网络安全审查技术与认证中心（CCRC） 颁发的信息安全风险评估服务资质，得2分。</w:t>
            </w:r>
          </w:p>
          <w:p>
            <w:pPr>
              <w:pStyle w:val="6"/>
              <w:spacing w:after="0" w:line="240" w:lineRule="auto"/>
              <w:ind w:firstLine="0" w:firstLineChars="0"/>
              <w:rPr>
                <w:rFonts w:cs="仿宋_GB2312"/>
                <w:sz w:val="21"/>
                <w:szCs w:val="21"/>
              </w:rPr>
            </w:pPr>
            <w:r>
              <w:rPr>
                <w:rFonts w:hint="eastAsia" w:cs="仿宋_GB2312"/>
                <w:sz w:val="21"/>
                <w:szCs w:val="21"/>
              </w:rPr>
              <w:t>7</w:t>
            </w:r>
            <w:r>
              <w:rPr>
                <w:rFonts w:cs="仿宋_GB2312"/>
                <w:sz w:val="21"/>
                <w:szCs w:val="21"/>
              </w:rPr>
              <w:t>.</w:t>
            </w:r>
            <w:r>
              <w:rPr>
                <w:rFonts w:hint="eastAsia" w:cs="仿宋_GB2312"/>
                <w:sz w:val="21"/>
                <w:szCs w:val="21"/>
              </w:rPr>
              <w:t>投标供应商参加过省级、国家级活动，获得相关技术支撑单位或感谢信的，提供1个得1分，满分2分。</w:t>
            </w:r>
          </w:p>
          <w:p>
            <w:pPr>
              <w:spacing w:line="240" w:lineRule="auto"/>
              <w:ind w:firstLine="0" w:firstLineChars="0"/>
              <w:rPr>
                <w:rFonts w:cs="仿宋_GB2312"/>
                <w:sz w:val="21"/>
                <w:szCs w:val="21"/>
              </w:rPr>
            </w:pPr>
            <w:r>
              <w:rPr>
                <w:rFonts w:hint="eastAsia" w:cs="仿宋_GB2312"/>
                <w:sz w:val="21"/>
                <w:szCs w:val="21"/>
              </w:rPr>
              <w:t>注：提供以上相关资料复印件或扫描件加盖投标供应商公章</w:t>
            </w:r>
            <w:r>
              <w:rPr>
                <w:rFonts w:hint="eastAsia" w:cs="宋体"/>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cantSplit/>
          <w:trHeight w:val="1855"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2</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人员具备资质及能力</w:t>
            </w:r>
          </w:p>
          <w:p>
            <w:pPr>
              <w:spacing w:line="240" w:lineRule="auto"/>
              <w:ind w:firstLine="0" w:firstLineChars="0"/>
              <w:rPr>
                <w:rFonts w:cs="仿宋_GB2312"/>
                <w:sz w:val="21"/>
                <w:szCs w:val="21"/>
              </w:rPr>
            </w:pPr>
            <w:r>
              <w:rPr>
                <w:rFonts w:hint="eastAsia" w:cs="仿宋_GB2312"/>
                <w:sz w:val="21"/>
                <w:szCs w:val="21"/>
              </w:rPr>
              <w:t>（满分15分）</w:t>
            </w:r>
          </w:p>
        </w:tc>
        <w:tc>
          <w:tcPr>
            <w:tcW w:w="6944" w:type="dxa"/>
          </w:tcPr>
          <w:p>
            <w:pPr>
              <w:spacing w:line="240" w:lineRule="auto"/>
              <w:ind w:firstLine="0" w:firstLineChars="0"/>
              <w:rPr>
                <w:rFonts w:cs="仿宋_GB2312"/>
                <w:sz w:val="21"/>
                <w:szCs w:val="21"/>
              </w:rPr>
            </w:pPr>
            <w:r>
              <w:rPr>
                <w:rFonts w:hint="eastAsia" w:cs="仿宋_GB2312"/>
                <w:sz w:val="21"/>
                <w:szCs w:val="21"/>
              </w:rPr>
              <w:t>1.拟投入的项目经理需同时具备高级测评师、注册信息安全工程师（CISP）、CISSP证书得5分。</w:t>
            </w:r>
          </w:p>
          <w:p>
            <w:pPr>
              <w:spacing w:line="240" w:lineRule="auto"/>
              <w:ind w:firstLine="0" w:firstLineChars="0"/>
              <w:rPr>
                <w:rFonts w:cs="仿宋_GB2312"/>
                <w:sz w:val="21"/>
                <w:szCs w:val="21"/>
              </w:rPr>
            </w:pPr>
            <w:r>
              <w:rPr>
                <w:rFonts w:hint="eastAsia" w:cs="仿宋_GB2312"/>
                <w:sz w:val="21"/>
                <w:szCs w:val="21"/>
              </w:rPr>
              <w:t>2.高级测评师：具备</w:t>
            </w:r>
            <w:r>
              <w:rPr>
                <w:rFonts w:cs="仿宋_GB2312"/>
                <w:sz w:val="21"/>
                <w:szCs w:val="21"/>
              </w:rPr>
              <w:t>1</w:t>
            </w:r>
            <w:r>
              <w:rPr>
                <w:rFonts w:hint="eastAsia" w:cs="仿宋_GB2312"/>
                <w:sz w:val="21"/>
                <w:szCs w:val="21"/>
              </w:rPr>
              <w:t>个高级测评师的，得</w:t>
            </w:r>
            <w:r>
              <w:rPr>
                <w:rFonts w:cs="仿宋_GB2312"/>
                <w:sz w:val="21"/>
                <w:szCs w:val="21"/>
              </w:rPr>
              <w:t>2</w:t>
            </w:r>
            <w:r>
              <w:rPr>
                <w:rFonts w:hint="eastAsia" w:cs="仿宋_GB2312"/>
                <w:sz w:val="21"/>
                <w:szCs w:val="21"/>
              </w:rPr>
              <w:t>分，每增加1个加2分，本项最高分</w:t>
            </w:r>
            <w:r>
              <w:rPr>
                <w:rFonts w:cs="仿宋_GB2312"/>
                <w:sz w:val="21"/>
                <w:szCs w:val="21"/>
              </w:rPr>
              <w:t>4</w:t>
            </w:r>
            <w:r>
              <w:rPr>
                <w:rFonts w:hint="eastAsia" w:cs="仿宋_GB2312"/>
                <w:sz w:val="21"/>
                <w:szCs w:val="21"/>
              </w:rPr>
              <w:t xml:space="preserve">分 </w:t>
            </w:r>
          </w:p>
          <w:p>
            <w:pPr>
              <w:spacing w:line="240" w:lineRule="auto"/>
              <w:ind w:firstLine="0" w:firstLineChars="0"/>
              <w:rPr>
                <w:rFonts w:cs="仿宋_GB2312"/>
                <w:sz w:val="21"/>
                <w:szCs w:val="21"/>
              </w:rPr>
            </w:pPr>
            <w:r>
              <w:rPr>
                <w:rFonts w:hint="eastAsia" w:cs="仿宋_GB2312"/>
                <w:sz w:val="21"/>
                <w:szCs w:val="21"/>
              </w:rPr>
              <w:t>3.中级测评师：具备5个中级测评师的，得1分，每增加</w:t>
            </w:r>
            <w:r>
              <w:rPr>
                <w:rFonts w:cs="仿宋_GB2312"/>
                <w:sz w:val="21"/>
                <w:szCs w:val="21"/>
              </w:rPr>
              <w:t>2</w:t>
            </w:r>
            <w:r>
              <w:rPr>
                <w:rFonts w:hint="eastAsia" w:cs="仿宋_GB2312"/>
                <w:sz w:val="21"/>
                <w:szCs w:val="21"/>
              </w:rPr>
              <w:t xml:space="preserve">个加1分，本项最高分4分 </w:t>
            </w:r>
          </w:p>
          <w:p>
            <w:pPr>
              <w:spacing w:line="240" w:lineRule="auto"/>
              <w:ind w:firstLine="0" w:firstLineChars="0"/>
              <w:rPr>
                <w:rFonts w:cs="仿宋_GB2312"/>
                <w:sz w:val="21"/>
                <w:szCs w:val="21"/>
              </w:rPr>
            </w:pPr>
            <w:r>
              <w:rPr>
                <w:rFonts w:hint="eastAsia" w:cs="仿宋_GB2312"/>
                <w:sz w:val="21"/>
                <w:szCs w:val="21"/>
              </w:rPr>
              <w:t>4.初级测评师：具备</w:t>
            </w:r>
            <w:r>
              <w:rPr>
                <w:rFonts w:cs="仿宋_GB2312"/>
                <w:sz w:val="21"/>
                <w:szCs w:val="21"/>
              </w:rPr>
              <w:t>6</w:t>
            </w:r>
            <w:r>
              <w:rPr>
                <w:rFonts w:hint="eastAsia" w:cs="仿宋_GB2312"/>
                <w:sz w:val="21"/>
                <w:szCs w:val="21"/>
              </w:rPr>
              <w:t>个初级测评师的，得1分，每增加</w:t>
            </w:r>
            <w:r>
              <w:rPr>
                <w:rFonts w:cs="仿宋_GB2312"/>
                <w:sz w:val="21"/>
                <w:szCs w:val="21"/>
              </w:rPr>
              <w:t>2</w:t>
            </w:r>
            <w:r>
              <w:rPr>
                <w:rFonts w:hint="eastAsia" w:cs="仿宋_GB2312"/>
                <w:sz w:val="21"/>
                <w:szCs w:val="21"/>
              </w:rPr>
              <w:t>个加0.5分，本项最高分2分</w:t>
            </w:r>
          </w:p>
          <w:p>
            <w:pPr>
              <w:spacing w:line="240" w:lineRule="auto"/>
              <w:ind w:firstLine="0" w:firstLineChars="0"/>
              <w:rPr>
                <w:rFonts w:cs="仿宋_GB2312"/>
                <w:sz w:val="21"/>
                <w:szCs w:val="21"/>
              </w:rPr>
            </w:pPr>
            <w:r>
              <w:rPr>
                <w:rFonts w:hint="eastAsia" w:cs="仿宋_GB2312"/>
                <w:sz w:val="21"/>
                <w:szCs w:val="21"/>
              </w:rPr>
              <w:t>注：（提供证书及投标供应商为其缴纳的2022年1月1日至磋商日任意3个月的社保证明材料的复印件或扫描件加盖投标供应商公章）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cantSplit/>
          <w:trHeight w:val="1138" w:hRule="atLeast"/>
          <w:jc w:val="center"/>
        </w:trPr>
        <w:tc>
          <w:tcPr>
            <w:tcW w:w="828" w:type="dxa"/>
            <w:vAlign w:val="center"/>
          </w:tcPr>
          <w:p>
            <w:pPr>
              <w:spacing w:line="240" w:lineRule="auto"/>
              <w:ind w:firstLine="0" w:firstLineChars="0"/>
              <w:rPr>
                <w:rFonts w:cs="仿宋_GB2312"/>
                <w:sz w:val="21"/>
                <w:szCs w:val="21"/>
              </w:rPr>
            </w:pPr>
            <w:r>
              <w:rPr>
                <w:rFonts w:hint="eastAsia" w:cs="仿宋_GB2312"/>
                <w:sz w:val="21"/>
                <w:szCs w:val="21"/>
              </w:rPr>
              <w:t>3</w:t>
            </w:r>
          </w:p>
        </w:tc>
        <w:tc>
          <w:tcPr>
            <w:tcW w:w="1867" w:type="dxa"/>
            <w:gridSpan w:val="2"/>
            <w:vAlign w:val="center"/>
          </w:tcPr>
          <w:p>
            <w:pPr>
              <w:spacing w:line="240" w:lineRule="auto"/>
              <w:ind w:firstLine="0" w:firstLineChars="0"/>
              <w:rPr>
                <w:rFonts w:cs="仿宋_GB2312"/>
                <w:sz w:val="21"/>
                <w:szCs w:val="21"/>
              </w:rPr>
            </w:pPr>
            <w:r>
              <w:rPr>
                <w:rFonts w:hint="eastAsia" w:cs="仿宋_GB2312"/>
                <w:sz w:val="21"/>
                <w:szCs w:val="21"/>
              </w:rPr>
              <w:t>相关案例</w:t>
            </w:r>
          </w:p>
          <w:p>
            <w:pPr>
              <w:spacing w:line="240" w:lineRule="auto"/>
              <w:ind w:firstLine="0" w:firstLineChars="0"/>
              <w:rPr>
                <w:rFonts w:cs="仿宋_GB2312"/>
                <w:sz w:val="21"/>
                <w:szCs w:val="21"/>
              </w:rPr>
            </w:pPr>
            <w:r>
              <w:rPr>
                <w:rFonts w:hint="eastAsia" w:cs="仿宋_GB2312"/>
                <w:sz w:val="21"/>
                <w:szCs w:val="21"/>
              </w:rPr>
              <w:t>（满分15分）</w:t>
            </w:r>
          </w:p>
        </w:tc>
        <w:tc>
          <w:tcPr>
            <w:tcW w:w="6944" w:type="dxa"/>
          </w:tcPr>
          <w:p>
            <w:pPr>
              <w:spacing w:line="240" w:lineRule="auto"/>
              <w:ind w:firstLine="0" w:firstLineChars="0"/>
              <w:rPr>
                <w:rFonts w:cs="仿宋_GB2312"/>
                <w:sz w:val="21"/>
                <w:szCs w:val="21"/>
              </w:rPr>
            </w:pPr>
            <w:r>
              <w:rPr>
                <w:rFonts w:hint="eastAsia" w:cs="仿宋_GB2312"/>
                <w:sz w:val="21"/>
                <w:szCs w:val="21"/>
              </w:rPr>
              <w:t>提供2019年以来合同金额不少于人民币</w:t>
            </w:r>
            <w:r>
              <w:rPr>
                <w:rFonts w:cs="仿宋_GB2312"/>
                <w:sz w:val="21"/>
                <w:szCs w:val="21"/>
              </w:rPr>
              <w:t>20</w:t>
            </w:r>
            <w:r>
              <w:rPr>
                <w:rFonts w:hint="eastAsia" w:cs="仿宋_GB2312"/>
                <w:sz w:val="21"/>
                <w:szCs w:val="21"/>
              </w:rPr>
              <w:t>万元的信息安全等级保护测评服务案例。一个合同得3分，最高</w:t>
            </w:r>
            <w:r>
              <w:rPr>
                <w:rFonts w:cs="仿宋_GB2312"/>
                <w:sz w:val="21"/>
                <w:szCs w:val="21"/>
              </w:rPr>
              <w:t>1</w:t>
            </w:r>
            <w:r>
              <w:rPr>
                <w:rFonts w:hint="eastAsia" w:cs="仿宋_GB2312"/>
                <w:sz w:val="21"/>
                <w:szCs w:val="21"/>
              </w:rPr>
              <w:t>5分。以合同关键页（包括双方盖章、合同金额、签约时间、采购内容）复印件为准，不重复计分。</w:t>
            </w:r>
          </w:p>
        </w:tc>
      </w:tr>
    </w:tbl>
    <w:p>
      <w:pPr>
        <w:widowControl/>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99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A3FD2"/>
    <w:multiLevelType w:val="multilevel"/>
    <w:tmpl w:val="14CA3FD2"/>
    <w:lvl w:ilvl="0" w:tentative="0">
      <w:start w:val="1"/>
      <w:numFmt w:val="decimal"/>
      <w:pStyle w:val="15"/>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5C922342"/>
    <w:multiLevelType w:val="multilevel"/>
    <w:tmpl w:val="5C922342"/>
    <w:lvl w:ilvl="0" w:tentative="0">
      <w:start w:val="1"/>
      <w:numFmt w:val="decimal"/>
      <w:lvlText w:val="%1"/>
      <w:lvlJc w:val="left"/>
      <w:pPr>
        <w:ind w:left="432" w:hanging="432"/>
      </w:pPr>
    </w:lvl>
    <w:lvl w:ilvl="1" w:tentative="0">
      <w:start w:val="1"/>
      <w:numFmt w:val="decimal"/>
      <w:lvlText w:val="%1.%2"/>
      <w:lvlJc w:val="left"/>
      <w:pPr>
        <w:ind w:left="2845" w:hanging="576"/>
      </w:pPr>
      <w:rPr>
        <w:rFonts w:ascii="宋体" w:hAnsi="宋体" w:eastAsia="宋体"/>
      </w:rPr>
    </w:lvl>
    <w:lvl w:ilvl="2" w:tentative="0">
      <w:start w:val="1"/>
      <w:numFmt w:val="decimal"/>
      <w:lvlText w:val="%1.%2.%3"/>
      <w:lvlJc w:val="left"/>
      <w:pPr>
        <w:ind w:left="1004" w:hanging="720"/>
      </w:pPr>
    </w:lvl>
    <w:lvl w:ilvl="3" w:tentative="0">
      <w:start w:val="1"/>
      <w:numFmt w:val="decimal"/>
      <w:pStyle w:val="5"/>
      <w:lvlText w:val="%1.%2.%3.%4"/>
      <w:lvlJc w:val="left"/>
      <w:pPr>
        <w:ind w:left="2141"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5E0818A2"/>
    <w:multiLevelType w:val="multilevel"/>
    <w:tmpl w:val="5E0818A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ascii="宋体" w:hAnsi="宋体" w:eastAsia="宋体"/>
      </w:rPr>
    </w:lvl>
    <w:lvl w:ilvl="2" w:tentative="0">
      <w:start w:val="1"/>
      <w:numFmt w:val="decimal"/>
      <w:lvlText w:val="%1.%2.%3"/>
      <w:lvlJc w:val="left"/>
      <w:pPr>
        <w:ind w:left="1571"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30"/>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3ZjhhMmE2ZGU4NjUwOTUyYWY4YTk0ZmRkN2RiYjYifQ=="/>
  </w:docVars>
  <w:rsids>
    <w:rsidRoot w:val="00AB46E8"/>
    <w:rsid w:val="00005D2B"/>
    <w:rsid w:val="00013BC4"/>
    <w:rsid w:val="000248C6"/>
    <w:rsid w:val="000D54D9"/>
    <w:rsid w:val="001052C8"/>
    <w:rsid w:val="0010678E"/>
    <w:rsid w:val="00116825"/>
    <w:rsid w:val="0012544A"/>
    <w:rsid w:val="001A6D07"/>
    <w:rsid w:val="001B2069"/>
    <w:rsid w:val="001D1FAD"/>
    <w:rsid w:val="001E4FFC"/>
    <w:rsid w:val="001E6412"/>
    <w:rsid w:val="001F1529"/>
    <w:rsid w:val="001F58AE"/>
    <w:rsid w:val="00214B18"/>
    <w:rsid w:val="002436BF"/>
    <w:rsid w:val="002716C6"/>
    <w:rsid w:val="00284DAE"/>
    <w:rsid w:val="002B797B"/>
    <w:rsid w:val="002D3778"/>
    <w:rsid w:val="002F533C"/>
    <w:rsid w:val="003147BD"/>
    <w:rsid w:val="00352331"/>
    <w:rsid w:val="0038242F"/>
    <w:rsid w:val="00384449"/>
    <w:rsid w:val="003B080B"/>
    <w:rsid w:val="003B189B"/>
    <w:rsid w:val="00436A26"/>
    <w:rsid w:val="004562A8"/>
    <w:rsid w:val="004566E2"/>
    <w:rsid w:val="00481EB5"/>
    <w:rsid w:val="0049304A"/>
    <w:rsid w:val="004B21D6"/>
    <w:rsid w:val="004D4474"/>
    <w:rsid w:val="004D6E83"/>
    <w:rsid w:val="00534E4C"/>
    <w:rsid w:val="005A2885"/>
    <w:rsid w:val="005B2369"/>
    <w:rsid w:val="005B6A55"/>
    <w:rsid w:val="005C20E2"/>
    <w:rsid w:val="005C4E9D"/>
    <w:rsid w:val="005E66BC"/>
    <w:rsid w:val="00602E6C"/>
    <w:rsid w:val="00626861"/>
    <w:rsid w:val="00691B8C"/>
    <w:rsid w:val="006A143D"/>
    <w:rsid w:val="006A79EC"/>
    <w:rsid w:val="006D4620"/>
    <w:rsid w:val="00717D93"/>
    <w:rsid w:val="00725891"/>
    <w:rsid w:val="0077133D"/>
    <w:rsid w:val="00784822"/>
    <w:rsid w:val="0080638C"/>
    <w:rsid w:val="0084597B"/>
    <w:rsid w:val="00885D4B"/>
    <w:rsid w:val="008B4285"/>
    <w:rsid w:val="00917A99"/>
    <w:rsid w:val="00923FCD"/>
    <w:rsid w:val="00935C57"/>
    <w:rsid w:val="00947461"/>
    <w:rsid w:val="00955981"/>
    <w:rsid w:val="009704AD"/>
    <w:rsid w:val="00972349"/>
    <w:rsid w:val="009727CC"/>
    <w:rsid w:val="009F53C9"/>
    <w:rsid w:val="00A17837"/>
    <w:rsid w:val="00A27077"/>
    <w:rsid w:val="00A627DB"/>
    <w:rsid w:val="00A7001C"/>
    <w:rsid w:val="00A84F52"/>
    <w:rsid w:val="00A8572C"/>
    <w:rsid w:val="00A87D76"/>
    <w:rsid w:val="00A91628"/>
    <w:rsid w:val="00AB46E8"/>
    <w:rsid w:val="00AB58FE"/>
    <w:rsid w:val="00AE3075"/>
    <w:rsid w:val="00B1116C"/>
    <w:rsid w:val="00B6300B"/>
    <w:rsid w:val="00B64A87"/>
    <w:rsid w:val="00B97281"/>
    <w:rsid w:val="00BA0385"/>
    <w:rsid w:val="00BA0953"/>
    <w:rsid w:val="00BA3781"/>
    <w:rsid w:val="00BA48E3"/>
    <w:rsid w:val="00BB23B4"/>
    <w:rsid w:val="00BC7DED"/>
    <w:rsid w:val="00BF231C"/>
    <w:rsid w:val="00C138FE"/>
    <w:rsid w:val="00C269B6"/>
    <w:rsid w:val="00C704B7"/>
    <w:rsid w:val="00CB0158"/>
    <w:rsid w:val="00CB08D0"/>
    <w:rsid w:val="00CC356D"/>
    <w:rsid w:val="00CD7945"/>
    <w:rsid w:val="00CE6020"/>
    <w:rsid w:val="00CE6D77"/>
    <w:rsid w:val="00CF745B"/>
    <w:rsid w:val="00D42090"/>
    <w:rsid w:val="00D810EF"/>
    <w:rsid w:val="00D91D96"/>
    <w:rsid w:val="00DC0A89"/>
    <w:rsid w:val="00DF3008"/>
    <w:rsid w:val="00DF5D9B"/>
    <w:rsid w:val="00E25C59"/>
    <w:rsid w:val="00E30720"/>
    <w:rsid w:val="00E32AF3"/>
    <w:rsid w:val="00E40211"/>
    <w:rsid w:val="00E4484D"/>
    <w:rsid w:val="00E62A42"/>
    <w:rsid w:val="00E64C8B"/>
    <w:rsid w:val="00E74D3D"/>
    <w:rsid w:val="00E92FBC"/>
    <w:rsid w:val="00F178D2"/>
    <w:rsid w:val="00F2332F"/>
    <w:rsid w:val="00F32249"/>
    <w:rsid w:val="00F706AA"/>
    <w:rsid w:val="00FA0A0B"/>
    <w:rsid w:val="00FB1DA9"/>
    <w:rsid w:val="00FB6171"/>
    <w:rsid w:val="00FD00FB"/>
    <w:rsid w:val="00FF5259"/>
    <w:rsid w:val="00FF691D"/>
    <w:rsid w:val="4303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color w:val="000000"/>
      <w:kern w:val="0"/>
      <w:sz w:val="24"/>
      <w:szCs w:val="20"/>
      <w:lang w:val="en-US" w:eastAsia="zh-CN" w:bidi="ar-SA"/>
    </w:rPr>
  </w:style>
  <w:style w:type="paragraph" w:styleId="2">
    <w:name w:val="heading 1"/>
    <w:basedOn w:val="1"/>
    <w:next w:val="1"/>
    <w:link w:val="20"/>
    <w:qFormat/>
    <w:uiPriority w:val="9"/>
    <w:pPr>
      <w:keepNext/>
      <w:keepLines/>
      <w:numPr>
        <w:ilvl w:val="0"/>
        <w:numId w:val="1"/>
      </w:numPr>
      <w:ind w:left="0" w:firstLine="0" w:firstLineChars="0"/>
      <w:outlineLvl w:val="0"/>
    </w:pPr>
    <w:rPr>
      <w:rFonts w:ascii="Times New Roman" w:hAnsi="Times New Roman" w:eastAsia="方正小标宋简体" w:cstheme="minorBidi"/>
      <w:bCs/>
      <w:color w:val="auto"/>
      <w:kern w:val="44"/>
      <w:sz w:val="44"/>
      <w:szCs w:val="44"/>
    </w:rPr>
  </w:style>
  <w:style w:type="paragraph" w:styleId="3">
    <w:name w:val="heading 2"/>
    <w:basedOn w:val="1"/>
    <w:next w:val="1"/>
    <w:link w:val="21"/>
    <w:unhideWhenUsed/>
    <w:qFormat/>
    <w:uiPriority w:val="9"/>
    <w:pPr>
      <w:keepNext/>
      <w:keepLines/>
      <w:numPr>
        <w:ilvl w:val="1"/>
        <w:numId w:val="1"/>
      </w:numPr>
      <w:spacing w:line="600" w:lineRule="auto"/>
      <w:ind w:left="0" w:firstLine="0" w:firstLineChars="0"/>
      <w:outlineLvl w:val="1"/>
    </w:pPr>
    <w:rPr>
      <w:rFonts w:cstheme="majorBidi"/>
      <w:b/>
      <w:bCs/>
      <w:color w:val="auto"/>
      <w:kern w:val="2"/>
      <w:sz w:val="36"/>
      <w:szCs w:val="32"/>
    </w:rPr>
  </w:style>
  <w:style w:type="paragraph" w:styleId="4">
    <w:name w:val="heading 3"/>
    <w:basedOn w:val="1"/>
    <w:next w:val="1"/>
    <w:link w:val="23"/>
    <w:unhideWhenUsed/>
    <w:qFormat/>
    <w:uiPriority w:val="9"/>
    <w:pPr>
      <w:keepNext/>
      <w:keepLines/>
      <w:spacing w:beforeLines="50" w:afterLines="50" w:line="540" w:lineRule="auto"/>
      <w:ind w:left="284" w:firstLine="0" w:firstLineChars="0"/>
      <w:outlineLvl w:val="2"/>
    </w:pPr>
    <w:rPr>
      <w:rFonts w:ascii="Times New Roman" w:hAnsi="Times New Roman" w:eastAsia="仿宋_GB2312" w:cstheme="minorBidi"/>
      <w:b/>
      <w:bCs/>
      <w:color w:val="auto"/>
      <w:kern w:val="2"/>
      <w:sz w:val="32"/>
      <w:szCs w:val="32"/>
    </w:rPr>
  </w:style>
  <w:style w:type="paragraph" w:styleId="5">
    <w:name w:val="heading 4"/>
    <w:basedOn w:val="4"/>
    <w:next w:val="6"/>
    <w:link w:val="22"/>
    <w:qFormat/>
    <w:uiPriority w:val="0"/>
    <w:pPr>
      <w:numPr>
        <w:ilvl w:val="3"/>
        <w:numId w:val="2"/>
      </w:numPr>
      <w:spacing w:line="480" w:lineRule="auto"/>
      <w:outlineLvl w:val="3"/>
    </w:pPr>
    <w:rPr>
      <w:bCs w:val="0"/>
      <w:sz w:val="30"/>
      <w:szCs w:val="28"/>
    </w:rPr>
  </w:style>
  <w:style w:type="paragraph" w:styleId="7">
    <w:name w:val="heading 5"/>
    <w:basedOn w:val="1"/>
    <w:next w:val="1"/>
    <w:link w:val="26"/>
    <w:qFormat/>
    <w:uiPriority w:val="9"/>
    <w:pPr>
      <w:keepNext/>
      <w:keepLines/>
      <w:numPr>
        <w:ilvl w:val="4"/>
        <w:numId w:val="2"/>
      </w:numPr>
      <w:spacing w:line="377" w:lineRule="auto"/>
      <w:ind w:firstLine="0" w:firstLineChars="0"/>
      <w:outlineLvl w:val="4"/>
    </w:pPr>
    <w:rPr>
      <w:rFonts w:cstheme="minorBidi"/>
      <w:b/>
      <w:bCs/>
      <w:kern w:val="2"/>
      <w:sz w:val="30"/>
      <w:szCs w:val="28"/>
    </w:rPr>
  </w:style>
  <w:style w:type="paragraph" w:styleId="8">
    <w:name w:val="heading 6"/>
    <w:basedOn w:val="1"/>
    <w:next w:val="1"/>
    <w:link w:val="29"/>
    <w:unhideWhenUsed/>
    <w:qFormat/>
    <w:uiPriority w:val="9"/>
    <w:pPr>
      <w:keepNext/>
      <w:keepLines/>
      <w:numPr>
        <w:ilvl w:val="5"/>
        <w:numId w:val="2"/>
      </w:numPr>
      <w:spacing w:before="64" w:after="64" w:line="319" w:lineRule="auto"/>
      <w:ind w:firstLine="0" w:firstLineChars="0"/>
      <w:outlineLvl w:val="5"/>
    </w:pPr>
    <w:rPr>
      <w:rFonts w:cstheme="majorBidi"/>
      <w:b/>
      <w:bCs/>
      <w:color w:val="auto"/>
      <w:kern w:val="2"/>
      <w:sz w:val="28"/>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7"/>
    <w:unhideWhenUsed/>
    <w:uiPriority w:val="0"/>
    <w:pPr>
      <w:spacing w:after="120"/>
    </w:pPr>
  </w:style>
  <w:style w:type="paragraph" w:styleId="9">
    <w:name w:val="Document Map"/>
    <w:basedOn w:val="1"/>
    <w:link w:val="40"/>
    <w:semiHidden/>
    <w:unhideWhenUsed/>
    <w:qFormat/>
    <w:uiPriority w:val="99"/>
    <w:rPr>
      <w:sz w:val="18"/>
      <w:szCs w:val="18"/>
    </w:rPr>
  </w:style>
  <w:style w:type="paragraph" w:styleId="10">
    <w:name w:val="annotation text"/>
    <w:basedOn w:val="1"/>
    <w:link w:val="37"/>
    <w:semiHidden/>
    <w:unhideWhenUsed/>
    <w:qFormat/>
    <w:uiPriority w:val="99"/>
    <w:pPr>
      <w:jc w:val="left"/>
    </w:pPr>
  </w:style>
  <w:style w:type="paragraph" w:styleId="11">
    <w:name w:val="Balloon Text"/>
    <w:basedOn w:val="1"/>
    <w:link w:val="39"/>
    <w:semiHidden/>
    <w:unhideWhenUsed/>
    <w:qFormat/>
    <w:uiPriority w:val="99"/>
    <w:pPr>
      <w:spacing w:line="240" w:lineRule="auto"/>
    </w:pPr>
    <w:rPr>
      <w:sz w:val="18"/>
      <w:szCs w:val="18"/>
    </w:rPr>
  </w:style>
  <w:style w:type="paragraph" w:styleId="12">
    <w:name w:val="footer"/>
    <w:basedOn w:val="1"/>
    <w:link w:val="33"/>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Normal (Web)"/>
    <w:basedOn w:val="1"/>
    <w:qFormat/>
    <w:uiPriority w:val="99"/>
    <w:pPr>
      <w:widowControl/>
      <w:spacing w:before="100" w:beforeAutospacing="1" w:after="100" w:afterAutospacing="1" w:line="240" w:lineRule="auto"/>
      <w:ind w:firstLine="0" w:firstLineChars="0"/>
      <w:jc w:val="left"/>
    </w:pPr>
    <w:rPr>
      <w:rFonts w:hAnsi="Times New Roman"/>
      <w:color w:val="auto"/>
      <w:szCs w:val="24"/>
    </w:rPr>
  </w:style>
  <w:style w:type="paragraph" w:styleId="15">
    <w:name w:val="Title"/>
    <w:basedOn w:val="4"/>
    <w:next w:val="1"/>
    <w:link w:val="28"/>
    <w:qFormat/>
    <w:uiPriority w:val="10"/>
    <w:pPr>
      <w:numPr>
        <w:ilvl w:val="0"/>
        <w:numId w:val="3"/>
      </w:numPr>
      <w:ind w:left="0" w:firstLine="0"/>
      <w:outlineLvl w:val="3"/>
    </w:pPr>
    <w:rPr>
      <w:rFonts w:cstheme="majorBidi"/>
      <w:bCs w:val="0"/>
    </w:rPr>
  </w:style>
  <w:style w:type="paragraph" w:styleId="16">
    <w:name w:val="annotation subject"/>
    <w:basedOn w:val="10"/>
    <w:next w:val="10"/>
    <w:link w:val="38"/>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Char"/>
    <w:basedOn w:val="18"/>
    <w:link w:val="2"/>
    <w:qFormat/>
    <w:uiPriority w:val="9"/>
    <w:rPr>
      <w:rFonts w:ascii="Times New Roman" w:hAnsi="Times New Roman" w:eastAsia="方正小标宋简体"/>
      <w:bCs/>
      <w:kern w:val="44"/>
      <w:sz w:val="44"/>
      <w:szCs w:val="44"/>
    </w:rPr>
  </w:style>
  <w:style w:type="character" w:customStyle="1" w:styleId="21">
    <w:name w:val="标题 2 Char"/>
    <w:basedOn w:val="18"/>
    <w:link w:val="3"/>
    <w:qFormat/>
    <w:uiPriority w:val="9"/>
    <w:rPr>
      <w:rFonts w:ascii="宋体" w:hAnsi="宋体" w:eastAsia="宋体" w:cstheme="majorBidi"/>
      <w:b/>
      <w:bCs/>
      <w:sz w:val="36"/>
      <w:szCs w:val="32"/>
    </w:rPr>
  </w:style>
  <w:style w:type="character" w:customStyle="1" w:styleId="22">
    <w:name w:val="标题 4 Char"/>
    <w:link w:val="5"/>
    <w:qFormat/>
    <w:uiPriority w:val="0"/>
    <w:rPr>
      <w:rFonts w:ascii="宋体" w:hAnsi="宋体" w:eastAsia="宋体"/>
      <w:b/>
      <w:color w:val="000000"/>
      <w:sz w:val="30"/>
      <w:szCs w:val="28"/>
    </w:rPr>
  </w:style>
  <w:style w:type="character" w:customStyle="1" w:styleId="23">
    <w:name w:val="标题 3 Char"/>
    <w:basedOn w:val="18"/>
    <w:link w:val="4"/>
    <w:qFormat/>
    <w:uiPriority w:val="9"/>
    <w:rPr>
      <w:rFonts w:ascii="Times New Roman" w:hAnsi="Times New Roman" w:eastAsia="仿宋_GB2312"/>
      <w:b/>
      <w:bCs/>
      <w:sz w:val="32"/>
      <w:szCs w:val="32"/>
    </w:rPr>
  </w:style>
  <w:style w:type="paragraph" w:customStyle="1" w:styleId="24">
    <w:name w:val="标题1"/>
    <w:next w:val="3"/>
    <w:link w:val="25"/>
    <w:qFormat/>
    <w:uiPriority w:val="0"/>
    <w:pPr>
      <w:spacing w:line="720" w:lineRule="auto"/>
      <w:jc w:val="center"/>
      <w:outlineLvl w:val="0"/>
    </w:pPr>
    <w:rPr>
      <w:rFonts w:ascii="宋体" w:hAnsi="宋体" w:eastAsia="宋体" w:cs="Times New Roman"/>
      <w:b/>
      <w:bCs/>
      <w:kern w:val="44"/>
      <w:sz w:val="44"/>
      <w:szCs w:val="44"/>
      <w:lang w:val="en-US" w:eastAsia="zh-CN" w:bidi="ar-SA"/>
    </w:rPr>
  </w:style>
  <w:style w:type="character" w:customStyle="1" w:styleId="25">
    <w:name w:val="标题1 字符"/>
    <w:basedOn w:val="18"/>
    <w:link w:val="24"/>
    <w:qFormat/>
    <w:uiPriority w:val="0"/>
    <w:rPr>
      <w:rFonts w:ascii="宋体" w:hAnsi="宋体" w:eastAsia="宋体" w:cs="Times New Roman"/>
      <w:b/>
      <w:bCs/>
      <w:kern w:val="44"/>
      <w:sz w:val="44"/>
      <w:szCs w:val="44"/>
    </w:rPr>
  </w:style>
  <w:style w:type="character" w:customStyle="1" w:styleId="26">
    <w:name w:val="标题 5 Char"/>
    <w:link w:val="7"/>
    <w:uiPriority w:val="9"/>
    <w:rPr>
      <w:rFonts w:ascii="宋体" w:hAnsi="宋体" w:eastAsia="宋体"/>
      <w:b/>
      <w:bCs/>
      <w:color w:val="000000"/>
      <w:sz w:val="30"/>
      <w:szCs w:val="28"/>
    </w:rPr>
  </w:style>
  <w:style w:type="character" w:customStyle="1" w:styleId="27">
    <w:name w:val="正文文本 Char"/>
    <w:basedOn w:val="18"/>
    <w:link w:val="6"/>
    <w:qFormat/>
    <w:uiPriority w:val="0"/>
    <w:rPr>
      <w:rFonts w:ascii="宋体" w:hAnsi="宋体" w:eastAsia="宋体"/>
      <w:sz w:val="24"/>
    </w:rPr>
  </w:style>
  <w:style w:type="character" w:customStyle="1" w:styleId="28">
    <w:name w:val="标题 Char"/>
    <w:basedOn w:val="18"/>
    <w:link w:val="15"/>
    <w:uiPriority w:val="10"/>
    <w:rPr>
      <w:rFonts w:ascii="宋体" w:hAnsi="宋体" w:eastAsia="宋体" w:cstheme="majorBidi"/>
      <w:b/>
      <w:color w:val="000000"/>
      <w:sz w:val="32"/>
      <w:szCs w:val="32"/>
    </w:rPr>
  </w:style>
  <w:style w:type="character" w:customStyle="1" w:styleId="29">
    <w:name w:val="标题 6 Char"/>
    <w:basedOn w:val="18"/>
    <w:link w:val="8"/>
    <w:qFormat/>
    <w:uiPriority w:val="9"/>
    <w:rPr>
      <w:rFonts w:ascii="宋体" w:hAnsi="宋体" w:eastAsia="宋体" w:cstheme="majorBidi"/>
      <w:b/>
      <w:bCs/>
      <w:sz w:val="28"/>
      <w:szCs w:val="24"/>
    </w:rPr>
  </w:style>
  <w:style w:type="paragraph" w:customStyle="1" w:styleId="30">
    <w:name w:val="标书6"/>
    <w:basedOn w:val="8"/>
    <w:link w:val="31"/>
    <w:qFormat/>
    <w:uiPriority w:val="0"/>
    <w:pPr>
      <w:widowControl/>
      <w:numPr>
        <w:numId w:val="1"/>
      </w:numPr>
      <w:tabs>
        <w:tab w:val="left" w:pos="1077"/>
        <w:tab w:val="left" w:pos="1152"/>
        <w:tab w:val="left" w:pos="4320"/>
      </w:tabs>
      <w:spacing w:before="240"/>
      <w:ind w:left="0" w:firstLine="200" w:firstLineChars="200"/>
      <w:jc w:val="left"/>
    </w:pPr>
    <w:rPr>
      <w:rFonts w:eastAsia="华文宋体"/>
      <w:sz w:val="24"/>
    </w:rPr>
  </w:style>
  <w:style w:type="character" w:customStyle="1" w:styleId="31">
    <w:name w:val="标书6 Char"/>
    <w:basedOn w:val="29"/>
    <w:link w:val="30"/>
    <w:qFormat/>
    <w:uiPriority w:val="0"/>
    <w:rPr>
      <w:rFonts w:ascii="宋体" w:hAnsi="宋体" w:eastAsia="华文宋体" w:cstheme="majorBidi"/>
      <w:sz w:val="24"/>
      <w:szCs w:val="24"/>
    </w:rPr>
  </w:style>
  <w:style w:type="character" w:customStyle="1" w:styleId="32">
    <w:name w:val="页眉 Char"/>
    <w:basedOn w:val="18"/>
    <w:link w:val="13"/>
    <w:qFormat/>
    <w:uiPriority w:val="99"/>
    <w:rPr>
      <w:rFonts w:ascii="宋体" w:hAnsi="宋体" w:eastAsia="宋体" w:cs="Times New Roman"/>
      <w:color w:val="000000"/>
      <w:kern w:val="0"/>
      <w:sz w:val="18"/>
      <w:szCs w:val="18"/>
    </w:rPr>
  </w:style>
  <w:style w:type="character" w:customStyle="1" w:styleId="33">
    <w:name w:val="页脚 Char"/>
    <w:basedOn w:val="18"/>
    <w:link w:val="12"/>
    <w:qFormat/>
    <w:uiPriority w:val="99"/>
    <w:rPr>
      <w:rFonts w:ascii="宋体" w:hAnsi="宋体" w:eastAsia="宋体" w:cs="Times New Roman"/>
      <w:color w:val="000000"/>
      <w:kern w:val="0"/>
      <w:sz w:val="18"/>
      <w:szCs w:val="18"/>
    </w:rPr>
  </w:style>
  <w:style w:type="paragraph" w:customStyle="1" w:styleId="34">
    <w:name w:val="表格标题黑体"/>
    <w:basedOn w:val="1"/>
    <w:qFormat/>
    <w:uiPriority w:val="0"/>
    <w:pPr>
      <w:spacing w:line="240" w:lineRule="auto"/>
      <w:ind w:firstLine="0" w:firstLineChars="0"/>
      <w:jc w:val="center"/>
    </w:pPr>
    <w:rPr>
      <w:rFonts w:ascii="Calibri" w:hAnsi="Calibri" w:eastAsia="黑体"/>
      <w:b/>
      <w:color w:val="auto"/>
      <w:sz w:val="21"/>
      <w:szCs w:val="24"/>
    </w:rPr>
  </w:style>
  <w:style w:type="paragraph" w:customStyle="1" w:styleId="35">
    <w:name w:val="表格正文:黑体"/>
    <w:basedOn w:val="1"/>
    <w:qFormat/>
    <w:uiPriority w:val="0"/>
    <w:pPr>
      <w:adjustRightInd w:val="0"/>
      <w:spacing w:line="240" w:lineRule="auto"/>
      <w:ind w:firstLine="0" w:firstLineChars="0"/>
      <w:jc w:val="left"/>
    </w:pPr>
    <w:rPr>
      <w:rFonts w:ascii="Calibri" w:hAnsi="Calibri" w:eastAsia="黑体"/>
      <w:color w:val="auto"/>
      <w:kern w:val="2"/>
      <w:sz w:val="21"/>
      <w:szCs w:val="24"/>
    </w:rPr>
  </w:style>
  <w:style w:type="paragraph" w:customStyle="1" w:styleId="36">
    <w:name w:val="表正文黑体"/>
    <w:basedOn w:val="1"/>
    <w:qFormat/>
    <w:uiPriority w:val="0"/>
    <w:pPr>
      <w:spacing w:line="240" w:lineRule="auto"/>
      <w:ind w:firstLine="0" w:firstLineChars="0"/>
      <w:jc w:val="left"/>
    </w:pPr>
    <w:rPr>
      <w:rFonts w:ascii="Calibri" w:hAnsi="Calibri" w:eastAsia="黑体"/>
      <w:color w:val="auto"/>
      <w:kern w:val="2"/>
      <w:sz w:val="21"/>
      <w:szCs w:val="24"/>
    </w:rPr>
  </w:style>
  <w:style w:type="character" w:customStyle="1" w:styleId="37">
    <w:name w:val="批注文字 Char"/>
    <w:basedOn w:val="18"/>
    <w:link w:val="10"/>
    <w:semiHidden/>
    <w:qFormat/>
    <w:uiPriority w:val="99"/>
    <w:rPr>
      <w:rFonts w:ascii="宋体" w:hAnsi="宋体" w:eastAsia="宋体" w:cs="Times New Roman"/>
      <w:color w:val="000000"/>
      <w:kern w:val="0"/>
      <w:sz w:val="24"/>
      <w:szCs w:val="20"/>
    </w:rPr>
  </w:style>
  <w:style w:type="character" w:customStyle="1" w:styleId="38">
    <w:name w:val="批注主题 Char"/>
    <w:basedOn w:val="37"/>
    <w:link w:val="16"/>
    <w:semiHidden/>
    <w:qFormat/>
    <w:uiPriority w:val="99"/>
    <w:rPr>
      <w:rFonts w:ascii="宋体" w:hAnsi="宋体" w:eastAsia="宋体" w:cs="Times New Roman"/>
      <w:b/>
      <w:bCs/>
      <w:color w:val="000000"/>
      <w:kern w:val="0"/>
      <w:sz w:val="24"/>
      <w:szCs w:val="20"/>
    </w:rPr>
  </w:style>
  <w:style w:type="character" w:customStyle="1" w:styleId="39">
    <w:name w:val="批注框文本 Char"/>
    <w:basedOn w:val="18"/>
    <w:link w:val="11"/>
    <w:semiHidden/>
    <w:qFormat/>
    <w:uiPriority w:val="99"/>
    <w:rPr>
      <w:rFonts w:ascii="宋体" w:hAnsi="宋体" w:eastAsia="宋体" w:cs="Times New Roman"/>
      <w:color w:val="000000"/>
      <w:kern w:val="0"/>
      <w:sz w:val="18"/>
      <w:szCs w:val="18"/>
    </w:rPr>
  </w:style>
  <w:style w:type="character" w:customStyle="1" w:styleId="40">
    <w:name w:val="文档结构图 Char"/>
    <w:basedOn w:val="18"/>
    <w:link w:val="9"/>
    <w:semiHidden/>
    <w:qFormat/>
    <w:uiPriority w:val="99"/>
    <w:rPr>
      <w:rFonts w:ascii="宋体" w:hAnsi="宋体" w:eastAsia="宋体" w:cs="Times New Roman"/>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3248</Words>
  <Characters>3499</Characters>
  <Lines>25</Lines>
  <Paragraphs>7</Paragraphs>
  <TotalTime>222</TotalTime>
  <ScaleCrop>false</ScaleCrop>
  <LinksUpToDate>false</LinksUpToDate>
  <CharactersWithSpaces>3516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2022-09-13T03:44:00Z</dcterms:created>
  <dc:creator>王云</dc:creator>
  <cp:lastModifiedBy>云卷云舒</cp:lastModifiedBy>
  <cp:lastPrinted>2019-08-30T08:29:00Z</cp:lastPrinted>
  <dcterms:modified xsi:type="dcterms:W3CDTF">2022-09-13T10:37:19Z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E069DA445D2B411182A21413BED95A93</vt:lpwstr>
  </property>
</Properties>
</file>