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Times New Roman"/>
          <w:kern w:val="2"/>
          <w:sz w:val="36"/>
          <w:szCs w:val="44"/>
          <w:lang w:val="en-US" w:eastAsia="zh-CN" w:bidi="ar-SA"/>
        </w:rPr>
        <w:id w:val="147456597"/>
        <w15:color w:val="DBDBDB"/>
        <w:docPartObj>
          <w:docPartGallery w:val="Table of Contents"/>
          <w:docPartUnique/>
        </w:docPartObj>
      </w:sdtPr>
      <w:sdtEndPr>
        <w:rPr>
          <w:rFonts w:hint="eastAsia" w:cs="Times New Roman" w:asciiTheme="minorEastAsia" w:hAnsiTheme="minorEastAsia" w:eastAsiaTheme="minorEastAsia"/>
          <w:b/>
          <w:bCs/>
          <w:color w:val="000000" w:themeColor="text1"/>
          <w:kern w:val="44"/>
          <w:sz w:val="32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sdtEndPr>
      <w:sdtContent>
        <w:p w14:paraId="57F03CC9">
          <w:pPr>
            <w:pStyle w:val="4"/>
            <w:keepNext/>
            <w:keepLines/>
            <w:pageBreakBefore w:val="0"/>
            <w:widowControl w:val="0"/>
            <w:numPr>
              <w:ilvl w:val="1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leftChars="0"/>
            <w:jc w:val="center"/>
            <w:textAlignment w:val="auto"/>
            <w:outlineLvl w:val="0"/>
            <w:rPr>
              <w:rFonts w:hint="eastAsia" w:ascii="黑体" w:hAnsi="黑体" w:eastAsia="黑体" w:cs="黑体"/>
              <w:b/>
              <w:color w:val="000000" w:themeColor="text1"/>
              <w:kern w:val="44"/>
              <w:sz w:val="44"/>
              <w:szCs w:val="44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</w:pPr>
          <w:bookmarkStart w:id="18" w:name="_GoBack"/>
          <w:r>
            <w:rPr>
              <w:rFonts w:hint="eastAsia" w:ascii="黑体" w:hAnsi="黑体" w:eastAsia="黑体" w:cs="黑体"/>
              <w:b/>
              <w:color w:val="000000" w:themeColor="text1"/>
              <w:kern w:val="44"/>
              <w:sz w:val="44"/>
              <w:szCs w:val="44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t>车辆</w:t>
          </w:r>
          <w:r>
            <w:rPr>
              <w:rFonts w:hint="eastAsia" w:ascii="黑体" w:hAnsi="黑体" w:eastAsia="黑体" w:cs="黑体"/>
              <w:b/>
              <w:color w:val="000000" w:themeColor="text1"/>
              <w:kern w:val="44"/>
              <w:sz w:val="44"/>
              <w:szCs w:val="44"/>
              <w:lang w:bidi="en-US"/>
              <w14:textFill>
                <w14:solidFill>
                  <w14:schemeClr w14:val="tx1"/>
                </w14:solidFill>
              </w14:textFill>
            </w:rPr>
            <w:t>报价</w:t>
          </w:r>
          <w:r>
            <w:rPr>
              <w:rFonts w:hint="eastAsia" w:ascii="黑体" w:hAnsi="黑体" w:eastAsia="黑体" w:cs="黑体"/>
              <w:b/>
              <w:color w:val="000000" w:themeColor="text1"/>
              <w:kern w:val="44"/>
              <w:sz w:val="44"/>
              <w:szCs w:val="44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t>明细</w:t>
          </w:r>
        </w:p>
        <w:bookmarkEnd w:id="18"/>
        <w:p w14:paraId="094F3F0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="Times New Roman"/>
              <w:kern w:val="2"/>
              <w:sz w:val="36"/>
              <w:szCs w:val="44"/>
              <w:lang w:val="en-US" w:eastAsia="zh-CN" w:bidi="ar-SA"/>
            </w:rPr>
          </w:pPr>
        </w:p>
        <w:p w14:paraId="1DD63AC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36"/>
              <w:szCs w:val="44"/>
            </w:rPr>
          </w:pPr>
          <w:r>
            <w:rPr>
              <w:rFonts w:ascii="宋体" w:hAnsi="宋体" w:eastAsia="宋体"/>
              <w:sz w:val="36"/>
              <w:szCs w:val="44"/>
            </w:rPr>
            <w:t>目录</w:t>
          </w:r>
        </w:p>
        <w:p w14:paraId="37275310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/>
              <w:color w:val="000000" w:themeColor="text1"/>
              <w:kern w:val="44"/>
              <w:sz w:val="48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/>
              <w:color w:val="000000" w:themeColor="text1"/>
              <w:kern w:val="44"/>
              <w:sz w:val="48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instrText xml:space="preserve">TOC \o "1-2" \h \u </w:instrText>
          </w:r>
          <w:r>
            <w:rPr>
              <w:rFonts w:hint="eastAsia" w:asciiTheme="minorEastAsia" w:hAnsiTheme="minorEastAsia" w:eastAsiaTheme="minorEastAsia"/>
              <w:b/>
              <w:color w:val="000000" w:themeColor="text1"/>
              <w:kern w:val="44"/>
              <w:sz w:val="48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_Toc14501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eastAsia="zh-CN"/>
            </w:rPr>
            <w:t xml:space="preserve">1．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eastAsia="zh-CN"/>
            </w:rPr>
            <w:t>金旅海狮：2012款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_Toc14501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1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6C25DEB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_Toc6896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eastAsia="zh-CN"/>
            </w:rPr>
            <w:t xml:space="preserve">2．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eastAsia="zh-CN"/>
            </w:rPr>
            <w:t>依维柯：2019款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_Toc6896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3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2A891BD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_Toc8461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eastAsia="zh-CN"/>
            </w:rPr>
            <w:t xml:space="preserve">3．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江铃新时代全顺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eastAsia="zh-CN"/>
            </w:rPr>
            <w:t>：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2022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eastAsia="zh-CN"/>
            </w:rPr>
            <w:t>款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2.2T柴油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_Toc8461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5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5ED2046B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_Toc1315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4．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经典江铃全顺2009款2.8T柴油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_Toc1315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7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198B9AF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_Toc21302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5．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东风多利卡货车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_Toc21302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9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33533DF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_Toc17977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6．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东风牌中巴车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_Toc17977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11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DEBC033">
          <w:pPr>
            <w:pStyle w:val="11"/>
            <w:tabs>
              <w:tab w:val="right" w:leader="dot" w:pos="9412"/>
            </w:tabs>
            <w:ind w:left="0" w:leftChars="0" w:firstLine="0" w:firstLineChars="0"/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_Toc23789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7．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2013款江淮星锐2.5T5系星快运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_Toc23789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13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AFA8112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_Toc29510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8．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东风多利卡箱式小货车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_Toc29510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15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2CB16A8D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_Toc25551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9．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东风牌中巴车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_Toc25551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17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0BBB684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_Toc28327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10．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金龙大客车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_Toc28327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19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2887BCD">
          <w:pPr>
            <w:pStyle w:val="11"/>
            <w:tabs>
              <w:tab w:val="right" w:leader="dot" w:pos="9412"/>
            </w:tabs>
            <w:ind w:left="0" w:leftChars="0" w:firstLine="0" w:firstLineChars="0"/>
            <w:rPr>
              <w:b w:val="0"/>
              <w:bCs/>
              <w:sz w:val="32"/>
              <w:szCs w:val="32"/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_Toc4917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11． 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2009款丰田汉兰达2.7L两驱7座运动版（手自一体AMT）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_Toc4917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21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023B0D78">
          <w:pPr>
            <w:pStyle w:val="10"/>
            <w:tabs>
              <w:tab w:val="right" w:leader="dot" w:pos="9412"/>
            </w:tabs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_Toc1790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12． 帕萨特领域：2010款1.8T手动尊享型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_Toc1790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23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199FAB5F">
          <w:pPr>
            <w:pStyle w:val="10"/>
            <w:tabs>
              <w:tab w:val="right" w:leader="dot" w:pos="9412"/>
            </w:tabs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instrText xml:space="preserve"> HYPERLINK \l _Toc1790 </w:instrText>
          </w:r>
          <w:r>
            <w:rPr>
              <w:rFonts w:hint="eastAsia" w:asciiTheme="minorEastAsia" w:hAnsiTheme="minorEastAsia" w:eastAsiaTheme="minorEastAsia"/>
              <w:b w:val="0"/>
              <w:bCs/>
              <w:kern w:val="44"/>
              <w:sz w:val="32"/>
              <w:szCs w:val="48"/>
              <w:lang w:val="en-US" w:eastAsia="zh-CN" w:bidi="en-US"/>
            </w:rPr>
            <w:fldChar w:fldCharType="separate"/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1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3</w:t>
          </w:r>
          <w:r>
            <w:rPr>
              <w:rFonts w:hint="default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>．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72"/>
              <w:lang w:val="en-US" w:eastAsia="zh-CN"/>
            </w:rPr>
            <w:t xml:space="preserve"> 以上12种车型总报价</w:t>
          </w:r>
          <w:r>
            <w:rPr>
              <w:b w:val="0"/>
              <w:bCs/>
              <w:sz w:val="32"/>
              <w:szCs w:val="32"/>
            </w:rPr>
            <w:tab/>
          </w:r>
          <w:r>
            <w:rPr>
              <w:b w:val="0"/>
              <w:bCs/>
              <w:sz w:val="32"/>
              <w:szCs w:val="32"/>
            </w:rPr>
            <w:fldChar w:fldCharType="begin"/>
          </w:r>
          <w:r>
            <w:rPr>
              <w:b w:val="0"/>
              <w:bCs/>
              <w:sz w:val="32"/>
              <w:szCs w:val="32"/>
            </w:rPr>
            <w:instrText xml:space="preserve"> PAGEREF _Toc1790 \h </w:instrText>
          </w:r>
          <w:r>
            <w:rPr>
              <w:b w:val="0"/>
              <w:bCs/>
              <w:sz w:val="32"/>
              <w:szCs w:val="32"/>
            </w:rPr>
            <w:fldChar w:fldCharType="separate"/>
          </w:r>
          <w:r>
            <w:rPr>
              <w:b w:val="0"/>
              <w:bCs/>
              <w:sz w:val="32"/>
              <w:szCs w:val="32"/>
            </w:rPr>
            <w:t>2</w:t>
          </w:r>
          <w:r>
            <w:rPr>
              <w:rFonts w:hint="eastAsia"/>
              <w:b w:val="0"/>
              <w:bCs/>
              <w:sz w:val="32"/>
              <w:szCs w:val="32"/>
              <w:lang w:val="en-US" w:eastAsia="zh-CN"/>
            </w:rPr>
            <w:t>5</w:t>
          </w:r>
          <w:r>
            <w:rPr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Theme="minorEastAsia" w:hAnsiTheme="minorEastAsia" w:eastAsiaTheme="minorEastAsia"/>
              <w:b w:val="0"/>
              <w:bCs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7CCB5FE">
          <w:pPr>
            <w:pStyle w:val="10"/>
            <w:tabs>
              <w:tab w:val="right" w:leader="dot" w:pos="9412"/>
            </w:tabs>
            <w:rPr>
              <w:b w:val="0"/>
              <w:bCs/>
              <w:sz w:val="32"/>
              <w:szCs w:val="32"/>
            </w:rPr>
          </w:pPr>
        </w:p>
        <w:p w14:paraId="00A1C487">
          <w:pPr>
            <w:pStyle w:val="10"/>
            <w:tabs>
              <w:tab w:val="right" w:leader="dot" w:pos="9412"/>
            </w:tabs>
            <w:rPr>
              <w:rFonts w:hint="eastAsia" w:asciiTheme="minorEastAsia" w:hAnsiTheme="minorEastAsia" w:eastAsiaTheme="minorEastAsia"/>
              <w:b/>
              <w:color w:val="000000" w:themeColor="text1"/>
              <w:kern w:val="44"/>
              <w:sz w:val="3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</w:pPr>
        </w:p>
        <w:p w14:paraId="0ACB0691">
          <w:pPr>
            <w:pStyle w:val="4"/>
            <w:numPr>
              <w:ilvl w:val="1"/>
              <w:numId w:val="0"/>
            </w:numPr>
            <w:ind w:leftChars="0"/>
            <w:jc w:val="both"/>
            <w:outlineLvl w:val="9"/>
            <w:rPr>
              <w:rFonts w:hint="eastAsia" w:asciiTheme="minorEastAsia" w:hAnsiTheme="minorEastAsia" w:eastAsiaTheme="minorEastAsia"/>
              <w:b/>
              <w:color w:val="000000" w:themeColor="text1"/>
              <w:kern w:val="44"/>
              <w:sz w:val="30"/>
              <w:szCs w:val="30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Theme="minorEastAsia" w:hAnsiTheme="minorEastAsia" w:eastAsiaTheme="minorEastAsia"/>
              <w:b/>
              <w:color w:val="000000" w:themeColor="text1"/>
              <w:kern w:val="44"/>
              <w:sz w:val="52"/>
              <w:szCs w:val="48"/>
              <w:lang w:val="en-US" w:eastAsia="zh-CN" w:bidi="en-US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1B89ED80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19149A0B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1261B058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018960AF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7BC246A9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7CEA51E2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06C23E26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Theme="minorEastAsia" w:hAnsiTheme="minorEastAsia" w:eastAsiaTheme="minorEastAsia"/>
          <w:b/>
          <w:color w:val="000000" w:themeColor="text1"/>
          <w:kern w:val="44"/>
          <w:sz w:val="30"/>
          <w:szCs w:val="30"/>
          <w:lang w:val="en-US" w:eastAsia="zh-CN" w:bidi="en-US"/>
          <w14:textFill>
            <w14:solidFill>
              <w14:schemeClr w14:val="tx1"/>
            </w14:solidFill>
          </w14:textFill>
        </w:rPr>
      </w:pPr>
    </w:p>
    <w:p w14:paraId="6E70CDA5">
      <w:pPr>
        <w:pStyle w:val="4"/>
        <w:numPr>
          <w:ilvl w:val="1"/>
          <w:numId w:val="0"/>
        </w:numPr>
        <w:ind w:leftChars="0"/>
        <w:jc w:val="center"/>
        <w:outlineLvl w:val="9"/>
        <w:rPr>
          <w:rFonts w:hint="eastAsia" w:ascii="黑体" w:hAnsi="黑体" w:eastAsia="黑体" w:cs="黑体"/>
          <w:b/>
          <w:color w:val="000000" w:themeColor="text1"/>
          <w:kern w:val="44"/>
          <w:sz w:val="44"/>
          <w:szCs w:val="44"/>
          <w:lang w:val="en-US" w:eastAsia="zh-CN" w:bidi="en-US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814" w:right="1247" w:bottom="1701" w:left="1247" w:header="851" w:footer="992" w:gutter="0"/>
          <w:cols w:space="425" w:num="1"/>
          <w:docGrid w:type="lines" w:linePitch="312" w:charSpace="0"/>
        </w:sectPr>
      </w:pPr>
    </w:p>
    <w:p w14:paraId="2A663459"/>
    <w:p w14:paraId="6D813ECA"/>
    <w:p w14:paraId="36A63F47"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center"/>
        <w:textAlignment w:val="auto"/>
        <w:outlineLvl w:val="0"/>
        <w:rPr>
          <w:rFonts w:hint="eastAsia" w:ascii="黑体" w:hAnsi="黑体" w:eastAsia="黑体" w:cs="黑体"/>
          <w:b/>
          <w:color w:val="000000" w:themeColor="text1"/>
          <w:kern w:val="44"/>
          <w:sz w:val="44"/>
          <w:szCs w:val="44"/>
          <w:lang w:val="en-US" w:eastAsia="zh-CN" w:bidi="en-US"/>
          <w14:textFill>
            <w14:solidFill>
              <w14:schemeClr w14:val="tx1"/>
            </w14:solidFill>
          </w14:textFill>
        </w:rPr>
      </w:pPr>
      <w:bookmarkStart w:id="0" w:name="_Toc11307"/>
      <w:bookmarkStart w:id="1" w:name="_Toc23907"/>
      <w:r>
        <w:rPr>
          <w:rFonts w:hint="eastAsia" w:ascii="黑体" w:hAnsi="黑体" w:eastAsia="黑体" w:cs="黑体"/>
          <w:b/>
          <w:color w:val="000000" w:themeColor="text1"/>
          <w:kern w:val="44"/>
          <w:sz w:val="44"/>
          <w:szCs w:val="44"/>
          <w:lang w:val="en-US" w:eastAsia="zh-CN" w:bidi="en-US"/>
          <w14:textFill>
            <w14:solidFill>
              <w14:schemeClr w14:val="tx1"/>
            </w14:solidFill>
          </w14:textFill>
        </w:rPr>
        <w:t>车辆</w:t>
      </w:r>
      <w:r>
        <w:rPr>
          <w:rFonts w:hint="eastAsia" w:ascii="黑体" w:hAnsi="黑体" w:eastAsia="黑体" w:cs="黑体"/>
          <w:b/>
          <w:color w:val="000000" w:themeColor="text1"/>
          <w:kern w:val="44"/>
          <w:sz w:val="44"/>
          <w:szCs w:val="44"/>
          <w:lang w:eastAsia="zh-CN" w:bidi="en-US"/>
          <w14:textFill>
            <w14:solidFill>
              <w14:schemeClr w14:val="tx1"/>
            </w14:solidFill>
          </w14:textFill>
        </w:rPr>
        <w:t>遴选</w:t>
      </w:r>
      <w:r>
        <w:rPr>
          <w:rFonts w:hint="eastAsia" w:ascii="黑体" w:hAnsi="黑体" w:eastAsia="黑体" w:cs="黑体"/>
          <w:b/>
          <w:color w:val="000000" w:themeColor="text1"/>
          <w:kern w:val="44"/>
          <w:sz w:val="44"/>
          <w:szCs w:val="44"/>
          <w:lang w:bidi="en-US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黑体" w:hAnsi="黑体" w:eastAsia="黑体" w:cs="黑体"/>
          <w:b/>
          <w:color w:val="000000" w:themeColor="text1"/>
          <w:kern w:val="44"/>
          <w:sz w:val="44"/>
          <w:szCs w:val="44"/>
          <w:lang w:val="en-US" w:eastAsia="zh-CN" w:bidi="en-US"/>
          <w14:textFill>
            <w14:solidFill>
              <w14:schemeClr w14:val="tx1"/>
            </w14:solidFill>
          </w14:textFill>
        </w:rPr>
        <w:t>明细</w:t>
      </w:r>
      <w:bookmarkEnd w:id="0"/>
      <w:bookmarkEnd w:id="1"/>
    </w:p>
    <w:p w14:paraId="6B3B5ACA">
      <w:pPr>
        <w:rPr>
          <w:rFonts w:hint="eastAsia"/>
          <w:lang w:val="en-US" w:eastAsia="zh-CN"/>
        </w:rPr>
      </w:pPr>
    </w:p>
    <w:p w14:paraId="7B59546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eastAsia="zh-CN"/>
        </w:rPr>
      </w:pPr>
      <w:bookmarkStart w:id="2" w:name="_Toc31620"/>
      <w:bookmarkStart w:id="3" w:name="_Toc14501"/>
      <w:r>
        <w:rPr>
          <w:rFonts w:hint="eastAsia" w:ascii="仿宋" w:hAnsi="仿宋" w:eastAsia="仿宋" w:cs="仿宋"/>
          <w:sz w:val="44"/>
          <w:szCs w:val="44"/>
          <w:lang w:eastAsia="zh-CN"/>
        </w:rPr>
        <w:t>金旅海狮：2012款</w:t>
      </w:r>
      <w:bookmarkEnd w:id="2"/>
      <w:bookmarkEnd w:id="3"/>
    </w:p>
    <w:tbl>
      <w:tblPr>
        <w:tblStyle w:val="8"/>
        <w:tblpPr w:leftFromText="180" w:rightFromText="180" w:vertAnchor="text" w:horzAnchor="page" w:tblpX="849" w:tblpY="608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1CDC8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C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4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71A2F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8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E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E2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B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E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5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D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6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596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C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31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E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A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C26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3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0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D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3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9DA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F0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E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9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5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D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A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973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6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B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B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337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D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5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2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6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3C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80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0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A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E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9A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C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C1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9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5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1D7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E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B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BAB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F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5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07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8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B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F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D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01D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A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F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B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8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68D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4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12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B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A73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E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2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2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907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2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C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B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8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32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8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8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D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B7D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0A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9CE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5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0F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0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6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FDB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D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F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3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B2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5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8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F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4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B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B5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2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3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473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8C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A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3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2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0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E8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5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8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E6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34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2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A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BB3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2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5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D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E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A0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F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5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35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9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1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3B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2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7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D6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D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E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6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BB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F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14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C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47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6C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1E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9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E28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9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4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7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B90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8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F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DDC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8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F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E9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C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1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A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2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23B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1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4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AD8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D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C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2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D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B53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B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5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C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5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D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24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93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3B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6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3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A8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B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0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D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A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7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FCA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E5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A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F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4EE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9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6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7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2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D8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7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D1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4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4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256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F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F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4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A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6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0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0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48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B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3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C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D3E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3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3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2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F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9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1B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0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1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E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5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A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442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7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6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77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E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B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845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5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1AC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2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0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9F4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EB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C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D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9CD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0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98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8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6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840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1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6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C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C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C4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3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28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E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07A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0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50B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C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8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7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262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A31D6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1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4E8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7849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3189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6077816">
      <w:pPr>
        <w:pStyle w:val="2"/>
        <w:rPr>
          <w:rFonts w:hint="eastAsia"/>
          <w:lang w:eastAsia="zh-CN"/>
        </w:rPr>
      </w:pPr>
    </w:p>
    <w:p w14:paraId="459983FD">
      <w:pPr>
        <w:pStyle w:val="2"/>
      </w:pPr>
    </w:p>
    <w:p w14:paraId="0DBA88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eastAsia="zh-CN"/>
        </w:rPr>
      </w:pPr>
      <w:bookmarkStart w:id="4" w:name="_Toc20721"/>
      <w:bookmarkStart w:id="5" w:name="_Toc6896"/>
      <w:r>
        <w:rPr>
          <w:rFonts w:hint="eastAsia" w:ascii="仿宋" w:hAnsi="仿宋" w:eastAsia="仿宋" w:cs="仿宋"/>
          <w:sz w:val="44"/>
          <w:szCs w:val="44"/>
          <w:lang w:eastAsia="zh-CN"/>
        </w:rPr>
        <w:t>依维柯：2019款</w:t>
      </w:r>
      <w:bookmarkEnd w:id="4"/>
      <w:bookmarkEnd w:id="5"/>
    </w:p>
    <w:tbl>
      <w:tblPr>
        <w:tblStyle w:val="8"/>
        <w:tblpPr w:leftFromText="180" w:rightFromText="180" w:vertAnchor="text" w:horzAnchor="page" w:tblpX="849" w:tblpY="608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7EF1F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1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6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2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4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0D025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8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F8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A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6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5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1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2A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67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CB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7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1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EE9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7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2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0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410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5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70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99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C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B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F31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8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A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F12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F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E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D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5FC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C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9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CFF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F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C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7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20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D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8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7C9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F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E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9D4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4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2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E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D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5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148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6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D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0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F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F5D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3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2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D5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7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C19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BA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3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CE8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1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73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F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D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C84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F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0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FF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8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80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4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E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4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11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2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1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1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1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D62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15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D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B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7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81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C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1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EA4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8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B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23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D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05B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A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91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50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17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1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DB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4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0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B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8D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9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A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1F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64F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9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F2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201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2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8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86F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AD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0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3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8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5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D0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4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86B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3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B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3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233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0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A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6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606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A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7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9E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7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1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0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194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3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66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5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DA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C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A0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6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B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04A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D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096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F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4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1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2D7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C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2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D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8EB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4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2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3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5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78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D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4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2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4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E9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7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2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9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A0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0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4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0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73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E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D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D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A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1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B92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D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E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9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C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DB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B4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C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B1F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B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3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F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3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9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D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E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97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F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5A9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63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5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DB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A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A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1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F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2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1FC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F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7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B9F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5B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2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87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5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B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6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D5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E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9CB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A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B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C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F0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9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E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59D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1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C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6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914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A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9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C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D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B1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A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B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7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B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BA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B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9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3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F0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1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6E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9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E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9B2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6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0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E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F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D6C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B02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6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E7F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FBD0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62395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73C48E0">
      <w:pPr>
        <w:pStyle w:val="2"/>
        <w:rPr>
          <w:rFonts w:hint="eastAsia"/>
          <w:lang w:eastAsia="zh-CN"/>
        </w:rPr>
      </w:pPr>
    </w:p>
    <w:p w14:paraId="1B6D8FC7">
      <w:pPr>
        <w:pStyle w:val="2"/>
      </w:pPr>
    </w:p>
    <w:p w14:paraId="177FB09F">
      <w:pPr>
        <w:pStyle w:val="2"/>
      </w:pPr>
    </w:p>
    <w:p w14:paraId="3E02C2D0">
      <w:pPr>
        <w:pStyle w:val="2"/>
      </w:pPr>
    </w:p>
    <w:p w14:paraId="0E6192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eastAsia="zh-CN"/>
        </w:rPr>
      </w:pPr>
      <w:bookmarkStart w:id="6" w:name="_Toc24176"/>
      <w:bookmarkStart w:id="7" w:name="_Toc8461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江铃新时代全顺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：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2022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款</w:t>
      </w:r>
      <w:bookmarkEnd w:id="6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2.2T柴油</w:t>
      </w:r>
      <w:bookmarkEnd w:id="7"/>
    </w:p>
    <w:tbl>
      <w:tblPr>
        <w:tblStyle w:val="8"/>
        <w:tblpPr w:leftFromText="180" w:rightFromText="180" w:vertAnchor="text" w:horzAnchor="page" w:tblpX="849" w:tblpY="608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5D306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D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6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B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3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0A066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D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7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B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1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8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15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2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F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7B7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9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9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0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E85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2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E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8D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C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6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FB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3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8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284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13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AF3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D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B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C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27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06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F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3B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1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0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0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30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7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D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C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EC9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7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E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B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D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4A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C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6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B5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E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4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A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69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8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0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F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3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3E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8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B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F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45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A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D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E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4D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D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3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7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0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A0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E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A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4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BF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A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BB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4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2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5E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8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C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2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52E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0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F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D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5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1EC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F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A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CC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9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8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4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DD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4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C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A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D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00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1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0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BC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5F9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A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2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F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449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0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F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7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A13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B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28E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3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1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B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63E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4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4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7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D8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E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1A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A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A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E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DBB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D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FD8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2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0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9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64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9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1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2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8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8C2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F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3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F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4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A11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9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7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D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5D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5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3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9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B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41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7D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C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D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6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E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95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C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0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1C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C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2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1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22E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B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4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AF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01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8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E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E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9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723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14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8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9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A2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6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DB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6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9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0D5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8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A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9E6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F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18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E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5D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F31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E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7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C9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1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9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27E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E2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63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4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C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F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F2D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13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9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D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0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CD4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F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3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2AD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E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F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2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09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4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D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5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5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4B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69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0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D4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4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C8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7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B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79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C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E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B2D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7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E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0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813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D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F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BEB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A7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A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17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1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AD1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ED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3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E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8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B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332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B180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5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1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B023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CACA4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566A2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6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5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D757C18">
      <w:pPr>
        <w:pStyle w:val="2"/>
      </w:pPr>
    </w:p>
    <w:p w14:paraId="70473473">
      <w:pPr>
        <w:pStyle w:val="2"/>
      </w:pPr>
    </w:p>
    <w:p w14:paraId="17A848EA">
      <w:pPr>
        <w:pStyle w:val="2"/>
      </w:pPr>
    </w:p>
    <w:p w14:paraId="661AAD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8" w:name="_Toc1315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经典江铃全顺2009款2.8T柴油</w:t>
      </w:r>
      <w:bookmarkEnd w:id="8"/>
    </w:p>
    <w:tbl>
      <w:tblPr>
        <w:tblStyle w:val="8"/>
        <w:tblpPr w:leftFromText="180" w:rightFromText="180" w:vertAnchor="text" w:horzAnchor="page" w:tblpX="849" w:tblpY="608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5E18B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B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2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D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4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28633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A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914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C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E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F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F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93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0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F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5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0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0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D88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B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2B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9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038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8A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B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F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C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573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6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4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2C9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C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9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2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AE0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C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3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5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A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91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2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11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7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AD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B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4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23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5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F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EC5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D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C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C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E5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3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0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D3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9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C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D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F6C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A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B67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04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A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020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4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DA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7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B3F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4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2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D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4E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3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6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A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59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5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0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1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A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6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2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D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2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27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08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BD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8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5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7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9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8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A4E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6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C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F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88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3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5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C9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1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85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5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1DC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A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C95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4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2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4CB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4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D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2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8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1AB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D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7D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5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D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7A9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0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7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6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F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E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83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F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3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6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1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9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F1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CA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7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5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1A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D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B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B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F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46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2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3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A3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3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1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F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F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D8B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E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B0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E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F8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6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1E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E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A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35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4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5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D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611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3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C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E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CC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17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E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30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4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B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5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8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78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F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6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E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1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1E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9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7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F4B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A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8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1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7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69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27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D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0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9A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F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6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619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77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82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D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8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7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F82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3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0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9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F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C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6B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8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9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9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CC8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6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668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8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1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01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1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0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D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D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6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40A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1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E6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F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C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88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18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1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5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6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52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7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5B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2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9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6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656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A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6EA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9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5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2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1AC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A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8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E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8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D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DDF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5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5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2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E3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0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8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F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2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C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105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E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1D35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F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B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588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1CD1A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0C5D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7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AEAC82D">
      <w:pPr>
        <w:pStyle w:val="2"/>
      </w:pPr>
    </w:p>
    <w:p w14:paraId="7D906F63">
      <w:pPr>
        <w:pStyle w:val="2"/>
      </w:pPr>
    </w:p>
    <w:p w14:paraId="334C0639">
      <w:pPr>
        <w:pStyle w:val="2"/>
      </w:pPr>
    </w:p>
    <w:p w14:paraId="409FF0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9" w:name="_Toc21302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东风多利卡货车</w:t>
      </w:r>
      <w:bookmarkEnd w:id="9"/>
    </w:p>
    <w:tbl>
      <w:tblPr>
        <w:tblStyle w:val="8"/>
        <w:tblpPr w:leftFromText="180" w:rightFromText="180" w:vertAnchor="text" w:horzAnchor="page" w:tblpX="849" w:tblpY="608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39951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8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E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407CC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1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E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2A8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9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4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0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7C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E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2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C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CE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4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C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1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60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6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A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F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AFA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7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F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F78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7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90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C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A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BD3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B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3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5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6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BC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0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C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4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E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639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9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9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0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A1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D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F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C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14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D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507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7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68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B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6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934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3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DE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F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F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12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3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2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7B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7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359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A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15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5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8B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F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E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81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0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E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EB4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63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2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C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0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F1A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B1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5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2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6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6A2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B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D3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A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F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7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C3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3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1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92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4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7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B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32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9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3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0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2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0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F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35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C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2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5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9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0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94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4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5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7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C27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0A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F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C3E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7C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7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61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6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5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3C7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4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E7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2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5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BE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C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5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E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1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1E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0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A05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74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1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8E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7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3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0B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5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C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239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C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26A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1E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9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B64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A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D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3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337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A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5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3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CA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6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3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2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9B6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5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384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2E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4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7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3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A5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0D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EA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1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847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4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85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0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2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1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B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524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8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4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E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3FA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76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A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7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5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C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0A0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8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5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0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32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D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A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E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2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5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9D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F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2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5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D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F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5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AF9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EA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3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C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8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68B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5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D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16B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D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E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5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57E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89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D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7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0C6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4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E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1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3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005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7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D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B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D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9C2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4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2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F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BF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D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8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7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8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B79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B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2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A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A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88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4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B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0C9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A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2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F2A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F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2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5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FCD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0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FB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B88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94B9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A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E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3655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FC0B9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5E94A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7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4B14589">
      <w:pPr>
        <w:pStyle w:val="2"/>
      </w:pPr>
    </w:p>
    <w:p w14:paraId="6306F86A">
      <w:pPr>
        <w:pStyle w:val="2"/>
      </w:pPr>
    </w:p>
    <w:p w14:paraId="3F21CF58">
      <w:pPr>
        <w:pStyle w:val="2"/>
      </w:pPr>
    </w:p>
    <w:p w14:paraId="2F7BE30B">
      <w:pPr>
        <w:pStyle w:val="2"/>
      </w:pPr>
    </w:p>
    <w:p w14:paraId="6ABAED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0" w:name="_Toc17977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东风牌中巴车</w:t>
      </w:r>
      <w:bookmarkEnd w:id="10"/>
    </w:p>
    <w:tbl>
      <w:tblPr>
        <w:tblStyle w:val="8"/>
        <w:tblpPr w:leftFromText="180" w:rightFromText="180" w:vertAnchor="text" w:horzAnchor="page" w:tblpX="849" w:tblpY="608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7DE89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6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6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D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1289D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D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4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20D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1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6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5C7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7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8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3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5C6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7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3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AD1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E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2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F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9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E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54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1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F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4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B34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E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BFD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4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C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F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7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8E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4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0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86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B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6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2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C55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F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E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58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B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B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E6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9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B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37F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1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B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5A1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1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D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A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4E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4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A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4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5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80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F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A4D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F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B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9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3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FC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8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6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B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E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8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16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6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9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8D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4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C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E0C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A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6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9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1A3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F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0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B92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0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0EC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5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4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7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5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0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03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B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2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1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6B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C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9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4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A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0B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8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B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26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C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2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5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5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114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E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FC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4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7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F10C6"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A62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6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7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7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1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26B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D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88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77C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3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1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C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898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6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6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4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028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5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84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0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2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9BA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2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8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7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D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0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4F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9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4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24D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8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0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1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956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0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B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B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F03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2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3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1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3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77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A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7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3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D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F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8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9A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E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A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B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C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5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5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0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D3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D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0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5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B7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2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27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D1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9B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9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7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D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42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E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8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1FD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8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1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4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6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9DF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F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E5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7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BC7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2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9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28C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638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7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A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3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9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9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EC2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0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3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3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A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6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D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3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7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32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5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7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C27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FD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3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5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F84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D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5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8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0C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3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2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A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C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9C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7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1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A2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98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1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37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C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47C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8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1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59B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0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7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A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1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6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36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47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0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D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FC6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4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9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0447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2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1B8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3B45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3C1E9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C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9007BD2">
      <w:pPr>
        <w:pStyle w:val="2"/>
      </w:pPr>
    </w:p>
    <w:p w14:paraId="50F36DE3">
      <w:pPr>
        <w:pStyle w:val="2"/>
      </w:pPr>
    </w:p>
    <w:p w14:paraId="4833CD8B">
      <w:pPr>
        <w:pStyle w:val="2"/>
      </w:pPr>
    </w:p>
    <w:p w14:paraId="7BFE3EDD">
      <w:pPr>
        <w:pStyle w:val="2"/>
      </w:pPr>
    </w:p>
    <w:p w14:paraId="6A1ED6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1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1" w:name="_Toc23789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2013款江淮星锐2.5T5系星快运</w:t>
      </w:r>
      <w:bookmarkEnd w:id="11"/>
    </w:p>
    <w:tbl>
      <w:tblPr>
        <w:tblStyle w:val="8"/>
        <w:tblpPr w:leftFromText="180" w:rightFromText="180" w:vertAnchor="text" w:horzAnchor="page" w:tblpX="824" w:tblpY="1227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77919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3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E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1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8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6DB18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F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F5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9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4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13F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2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5D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3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A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5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5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BA2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F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F5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12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2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5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1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7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54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9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F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6C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D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6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E9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F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79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69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2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0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4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3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D7A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E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E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E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8D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4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4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4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476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C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4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0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549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9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7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1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F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A96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8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B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30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7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D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0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C0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7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A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E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B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9E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8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D4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9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FE7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3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A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A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52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27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1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E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2E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1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4E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F2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C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C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A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9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8B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2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3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D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B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3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B8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C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1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7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F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7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74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9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9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6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3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126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6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8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CB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1F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F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B7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1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83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8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1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E6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6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8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5F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9C3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FE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0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E43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6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C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A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8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96F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8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84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9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9D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0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0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1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C7A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3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F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0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58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A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4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A2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D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79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C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2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0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5E5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E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D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C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CB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7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F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3F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C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C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7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C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B04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B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5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7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FDC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9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C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9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1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A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97D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8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C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80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F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7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00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1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5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3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C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E76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9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6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3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B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EA3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3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8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4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5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B6A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A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8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7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A87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C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7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8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4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F55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5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D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9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D6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B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1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9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661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C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66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0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18B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B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97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687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0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F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FA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D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8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3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AE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7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0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E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CC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0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F7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2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0B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C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D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D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0BA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B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B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F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B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3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1BF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7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A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3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D93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A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8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E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1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1D1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3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7FA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5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1A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6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6C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0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C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A8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F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2D1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E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048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2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B5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8E8E5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2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A89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4820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0DD4F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5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6891850">
      <w:pPr>
        <w:pStyle w:val="2"/>
      </w:pPr>
    </w:p>
    <w:p w14:paraId="68186010">
      <w:pPr>
        <w:pStyle w:val="2"/>
      </w:pPr>
    </w:p>
    <w:p w14:paraId="5DEB7B80">
      <w:pPr>
        <w:pStyle w:val="2"/>
      </w:pPr>
    </w:p>
    <w:p w14:paraId="7C792E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2" w:name="_Toc2951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东风多利卡箱式小货车</w:t>
      </w:r>
      <w:bookmarkEnd w:id="12"/>
    </w:p>
    <w:tbl>
      <w:tblPr>
        <w:tblStyle w:val="8"/>
        <w:tblpPr w:leftFromText="180" w:rightFromText="180" w:vertAnchor="text" w:horzAnchor="page" w:tblpX="824" w:tblpY="1227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50893DA0"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0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5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2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2FAA3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E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0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734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69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4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C6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1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5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0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30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E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108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C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F6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59A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A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A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4CC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0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6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8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AE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C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2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D8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D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D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42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F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E9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E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BB0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4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0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6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9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A8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1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4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D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3F9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4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8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1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E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C9A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9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E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1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F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F2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7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3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8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D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144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C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D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1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7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0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86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C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2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9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4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2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2A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3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6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9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D0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11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2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C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278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5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7E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F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6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6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F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A23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4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5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77E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F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014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D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FD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4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7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A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52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B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5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674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D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9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F82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E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7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B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ECD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0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6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4F9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8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2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F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A7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D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6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6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619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A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6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F5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B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B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80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D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C29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C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E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6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F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FF8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6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A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BE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3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7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5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71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F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51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3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0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AEB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4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8A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5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6E5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91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234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6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7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2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A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C1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5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8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6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BE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E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B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304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6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B4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8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A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C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4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B2C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4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8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78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E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F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1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D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E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F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D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5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4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0C6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0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1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1E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6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5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1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54E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3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1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9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1BB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C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F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F0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7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FF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4C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0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B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03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F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A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07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6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A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09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56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3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4628"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D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C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0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3D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3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F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1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E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D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088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5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759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3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A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C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44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A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8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A0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5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C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B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083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5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67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3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1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63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B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2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2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7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C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4A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1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4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1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4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D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1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1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F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1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C1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1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6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A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E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B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23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3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3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8C1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E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64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8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223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6E6C7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4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8EE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3AFA4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FE34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6249CE5">
      <w:pPr>
        <w:pStyle w:val="2"/>
        <w:rPr>
          <w:rFonts w:hint="default" w:ascii="等线" w:hAnsi="宋体" w:eastAsia="等线"/>
          <w:sz w:val="28"/>
          <w:szCs w:val="28"/>
          <w:u w:val="none"/>
          <w:lang w:val="en-US" w:eastAsia="zh-CN"/>
        </w:rPr>
      </w:pPr>
    </w:p>
    <w:p w14:paraId="22961414">
      <w:pPr>
        <w:pStyle w:val="2"/>
        <w:rPr>
          <w:rFonts w:hint="default" w:ascii="等线" w:hAnsi="宋体" w:eastAsia="等线"/>
          <w:sz w:val="28"/>
          <w:szCs w:val="28"/>
          <w:u w:val="none"/>
          <w:lang w:val="en-US" w:eastAsia="zh-CN"/>
        </w:rPr>
      </w:pPr>
    </w:p>
    <w:p w14:paraId="365E2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3" w:name="_Toc25551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东风牌中巴车</w:t>
      </w:r>
      <w:bookmarkEnd w:id="13"/>
    </w:p>
    <w:tbl>
      <w:tblPr>
        <w:tblStyle w:val="8"/>
        <w:tblpPr w:leftFromText="180" w:rightFromText="180" w:vertAnchor="text" w:horzAnchor="page" w:tblpX="749" w:tblpY="1311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64BB6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F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C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5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2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D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6A162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6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7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9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752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B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1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7C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A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1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243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E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6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D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5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B7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71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0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A78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F3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4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7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5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819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B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D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C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D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B31C1B"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2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0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C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0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1A2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A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9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ED5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4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E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3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9D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7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6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8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6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A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C2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C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F10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1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24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C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757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E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4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2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A9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F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1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CD0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4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A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2E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4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F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A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79E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A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6A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B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E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B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707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C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6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8C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09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C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D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08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C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8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4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348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A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4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E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AA0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7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6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6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DF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9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3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9CC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7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756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4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D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409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7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3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7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05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D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BC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F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C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2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0C0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B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52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9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90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F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7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7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31E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8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A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1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0F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F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9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9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3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9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A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B3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4D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F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2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8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BBF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C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2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4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49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2C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4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D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8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1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3B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3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0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FB0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9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CB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1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6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11C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9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2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16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E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4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ED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4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B0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0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3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32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8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CA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F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0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1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08C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1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3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C1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8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7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F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F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F7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B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2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4FF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E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8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4F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4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5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CAE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A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D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1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F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58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1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5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E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5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A9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3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64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4F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17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D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D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D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FE2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B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A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F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8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DC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B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0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7D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C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5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F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1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D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66D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7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14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0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9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DA0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0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4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E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1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DF8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2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4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A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F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13D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0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B5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A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7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065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E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A1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3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59F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2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F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C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C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9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A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52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F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9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3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1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F2A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2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0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3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15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C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87E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5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C6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4A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9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8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0CE53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5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506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046C0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59173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D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21E5231">
      <w:pPr>
        <w:pStyle w:val="2"/>
        <w:rPr>
          <w:rFonts w:hint="default" w:ascii="等线" w:hAnsi="宋体" w:eastAsia="等线"/>
          <w:sz w:val="28"/>
          <w:szCs w:val="28"/>
          <w:u w:val="none"/>
          <w:lang w:val="en-US" w:eastAsia="zh-CN"/>
        </w:rPr>
      </w:pPr>
    </w:p>
    <w:p w14:paraId="7E8BD03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4" w:name="_Toc28327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金龙大客车</w:t>
      </w:r>
      <w:bookmarkEnd w:id="14"/>
    </w:p>
    <w:tbl>
      <w:tblPr>
        <w:tblStyle w:val="8"/>
        <w:tblpPr w:leftFromText="180" w:rightFromText="180" w:vertAnchor="text" w:horzAnchor="page" w:tblpX="824" w:tblpY="1227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138B8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4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9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4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73818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A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C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A46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3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7D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B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77E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3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7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B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15E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3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3B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F8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C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B8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C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5E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6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6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8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2E4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0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2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2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1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60F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7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D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F3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6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10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5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3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6A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E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F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F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ED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6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8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A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9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FA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F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8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8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A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A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698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9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6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B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AC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F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E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39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A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2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8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D4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1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D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A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9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6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56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E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9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9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9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001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70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D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C0F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F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3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3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3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8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1B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7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E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A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ED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1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FA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8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B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9D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9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CE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D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F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123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3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5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2B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D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A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6BF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1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8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26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4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E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AE7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95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5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F0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D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1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D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B91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A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B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3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1F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4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8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B5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7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26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7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A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0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0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7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4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4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1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8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E96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C1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1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5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622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F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B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8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7A2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56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00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A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2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E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30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AF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F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D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1A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3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3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E20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0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F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9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3D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6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4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5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D4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E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B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4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F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8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1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D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493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9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98A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1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0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B4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A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1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809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F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6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3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14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8E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B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5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8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7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FAC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6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2D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7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3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325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0C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B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C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48F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0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1B1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C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7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5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563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35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C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2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4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90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D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F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C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B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D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0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A26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2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8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89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9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89A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C9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69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9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EC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A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6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D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9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9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5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5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6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B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5B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5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B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A1F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C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9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D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02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6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8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7F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4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3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C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5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158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301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FA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E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4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FF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9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C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6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37C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A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2DF9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7A2B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8F530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6B9D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7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FFD28ED">
      <w:pPr>
        <w:numPr>
          <w:numId w:val="0"/>
        </w:numPr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4EF7666">
      <w:pPr>
        <w:pStyle w:val="2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700E3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1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5" w:name="_Toc4917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2009款丰田汉兰达2.7L两驱7座运动版（手自一体AMT）</w:t>
      </w:r>
      <w:bookmarkEnd w:id="15"/>
    </w:p>
    <w:tbl>
      <w:tblPr>
        <w:tblStyle w:val="8"/>
        <w:tblpPr w:leftFromText="180" w:rightFromText="180" w:vertAnchor="text" w:horzAnchor="page" w:tblpX="824" w:tblpY="1227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07674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9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5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C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F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03DB3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3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A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3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3FC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57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B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C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5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80D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7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71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1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CE0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2E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6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D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5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D2E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7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88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F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2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4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CF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1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B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AB4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D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3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FC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8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F67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A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4AEC3"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8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4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7D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0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25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4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F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563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E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E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F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35F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E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20F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3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曲轴前油封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FB6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2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D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3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A79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0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E4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95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9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0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B38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9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8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8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E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C1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B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BA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D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66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A0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B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0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D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A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B2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A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C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A27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3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6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9FE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F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ED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7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9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3E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8B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4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F89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6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68E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B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F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0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6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54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5B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A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D73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5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A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79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E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6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E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22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77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9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0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C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4AF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0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F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B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9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0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B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2E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4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B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7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08E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7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3B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E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8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D4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0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A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D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2F5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7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E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2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3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6C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B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2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F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9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67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3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239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8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6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9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4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914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A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B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B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8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F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B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C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9EC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D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3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0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4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99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2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D5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7C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E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F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65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B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F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A8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C89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4C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3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C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6E2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D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2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2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D1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A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A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3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5F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CD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85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D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B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D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F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4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0A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F8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0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C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F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4F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8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7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5D7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D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1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3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B5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4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A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D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4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68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A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E169A0"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2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1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5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7B5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2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F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2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3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F8A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B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73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B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A2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1B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7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6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A76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5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7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3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A12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A3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F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2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5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E3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E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5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15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1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A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1E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6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B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A7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5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6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0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3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9F1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E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8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F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FC8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9C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ED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7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C5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1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4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B71FB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2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51F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3651A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4041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467101C">
      <w:pPr>
        <w:pStyle w:val="2"/>
        <w:rPr>
          <w:rFonts w:hint="default"/>
          <w:lang w:val="en-US" w:eastAsia="zh-CN"/>
        </w:rPr>
      </w:pPr>
    </w:p>
    <w:p w14:paraId="78D4AF56">
      <w:pPr>
        <w:pStyle w:val="2"/>
        <w:rPr>
          <w:rFonts w:hint="default"/>
          <w:lang w:val="en-US" w:eastAsia="zh-CN"/>
        </w:rPr>
      </w:pPr>
    </w:p>
    <w:p w14:paraId="5ABC7E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both"/>
        <w:textAlignment w:val="auto"/>
        <w:outlineLvl w:val="0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bookmarkStart w:id="16" w:name="_Toc17420"/>
      <w:bookmarkStart w:id="17" w:name="_Toc1790"/>
      <w:r>
        <w:rPr>
          <w:rFonts w:hint="default" w:ascii="仿宋" w:hAnsi="仿宋" w:eastAsia="仿宋" w:cs="仿宋"/>
          <w:sz w:val="44"/>
          <w:szCs w:val="44"/>
          <w:lang w:val="en-US" w:eastAsia="zh-CN"/>
        </w:rPr>
        <w:t>帕萨特领域：2010款1.8T手动尊享型</w:t>
      </w:r>
      <w:bookmarkEnd w:id="16"/>
      <w:bookmarkEnd w:id="17"/>
    </w:p>
    <w:tbl>
      <w:tblPr>
        <w:tblStyle w:val="8"/>
        <w:tblpPr w:leftFromText="180" w:rightFromText="180" w:vertAnchor="text" w:horzAnchor="page" w:tblpX="824" w:tblpY="1227"/>
        <w:tblOverlap w:val="never"/>
        <w:tblW w:w="95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128"/>
        <w:gridCol w:w="2064"/>
        <w:gridCol w:w="1144"/>
        <w:gridCol w:w="1301"/>
        <w:gridCol w:w="1066"/>
        <w:gridCol w:w="1066"/>
      </w:tblGrid>
      <w:tr w14:paraId="4E326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1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9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品牌或品质说明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工时（元）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0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5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 w14:paraId="5C292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柴机油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BA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4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C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升（L）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AD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2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2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1A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8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895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D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9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9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E5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7F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8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5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3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B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B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柴油滤清器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F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5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9B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5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7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8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3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19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D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30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E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助力泵油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A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97D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空调制冷剂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0AF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喷油嘴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F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7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D8A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发动机上水管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6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4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8AA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4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发动机下水管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1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B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D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32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9E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曲轴后油封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8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496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A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83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曲轴油封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4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B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FA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1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C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B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7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A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807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8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E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B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67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4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B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气门室盖垫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9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9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453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节温器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6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D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18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4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5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起动机总成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D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2F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2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发电机总成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9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AD3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机油泵总成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F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A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AB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7C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7C9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B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副水箱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2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1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48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F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1E0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7F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机油感应器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2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3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3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8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ED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B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9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曲轴位置传感器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4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9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4EA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6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正时皮带（链条）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A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5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1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D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29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5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4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D5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2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后减震器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3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7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C66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1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前轮轴承（内）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4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76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9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9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前轮轴承（外）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1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7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E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3C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C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9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F5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7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9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1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12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2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前上肢臂球头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E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427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4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6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6C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6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前下支臂球头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3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E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341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9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离合器轴承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9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3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1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E7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8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FA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离合器压盘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E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8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02B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D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4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0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8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2D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9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离合器拉线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E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1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4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B03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前刹车盘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E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A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2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E9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DC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B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A29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3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A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F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F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后刹车片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9A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2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4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EDA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2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后钢板前轴套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5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8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47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F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后钢板后轴套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7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DF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D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后钢板吊耳衬套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E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1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77B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A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0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制动总泵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8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2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C3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3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制动分泵（前）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E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F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A96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DE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ABS转速传感器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C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467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1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3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手刹拉线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9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F0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09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0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73B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6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6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4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9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E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488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6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8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C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F9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4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风扇耦合器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8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A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F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EB1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4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F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雨刮片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0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F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C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448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F6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雨刮水壶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5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2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9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EB4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5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喷水电机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8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4C3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A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9C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D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7F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C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0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升降器总开关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9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0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8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4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A0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21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9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9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B36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后门升降器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0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9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4ED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2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0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6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2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7D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5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3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轮胎镙栓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31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7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3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F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410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4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A6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车速里程表传感器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A3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61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发动机大修包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F6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C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6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E9B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25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发动机大修工时费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43945">
            <w:pPr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品牌（全新件）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EBE5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DFB9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 w14:paraId="5487E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5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报价合计：配件价格：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元；  工时价格：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B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8831421">
      <w:pPr>
        <w:pStyle w:val="2"/>
        <w:rPr>
          <w:rFonts w:hint="default"/>
          <w:lang w:val="en-US" w:eastAsia="zh-CN"/>
        </w:rPr>
      </w:pPr>
    </w:p>
    <w:p w14:paraId="43AD8E1E">
      <w:pPr>
        <w:pStyle w:val="2"/>
        <w:rPr>
          <w:rFonts w:hint="default"/>
          <w:lang w:val="en-US" w:eastAsia="zh-CN"/>
        </w:rPr>
      </w:pPr>
    </w:p>
    <w:p w14:paraId="2B0EB31A">
      <w:pPr>
        <w:pStyle w:val="2"/>
        <w:rPr>
          <w:rFonts w:hint="default"/>
          <w:lang w:val="en-US" w:eastAsia="zh-CN"/>
        </w:rPr>
      </w:pPr>
    </w:p>
    <w:p w14:paraId="53E3A691">
      <w:pPr>
        <w:pStyle w:val="2"/>
        <w:rPr>
          <w:rFonts w:hint="eastAsia" w:ascii="仿宋" w:hAnsi="仿宋" w:eastAsia="仿宋" w:cs="仿宋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以上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12种车型总报价：</w:t>
      </w:r>
      <w:r>
        <w:rPr>
          <w:rFonts w:hint="eastAsia" w:ascii="仿宋" w:hAnsi="仿宋" w:eastAsia="仿宋" w:cs="仿宋"/>
          <w:sz w:val="44"/>
          <w:szCs w:val="4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44"/>
          <w:szCs w:val="44"/>
          <w:u w:val="none"/>
          <w:lang w:val="en-US" w:eastAsia="zh-CN"/>
        </w:rPr>
        <w:t>元。</w:t>
      </w:r>
    </w:p>
    <w:sectPr>
      <w:footerReference r:id="rId4" w:type="default"/>
      <w:pgSz w:w="11906" w:h="16838"/>
      <w:pgMar w:top="1814" w:right="1247" w:bottom="1701" w:left="124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859C4">
    <w:pPr>
      <w:pStyle w:val="5"/>
      <w:tabs>
        <w:tab w:val="center" w:pos="4706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C148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57809">
                          <w:pPr>
                            <w:pStyle w:val="5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57809">
                    <w:pPr>
                      <w:pStyle w:val="5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D4D98"/>
    <w:multiLevelType w:val="singleLevel"/>
    <w:tmpl w:val="221D4D9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F091E18"/>
    <w:multiLevelType w:val="multilevel"/>
    <w:tmpl w:val="2F091E18"/>
    <w:lvl w:ilvl="0" w:tentative="0">
      <w:start w:val="1"/>
      <w:numFmt w:val="upperRoman"/>
      <w:lvlText w:val="第 %1 条"/>
      <w:lvlJc w:val="left"/>
      <w:pPr>
        <w:tabs>
          <w:tab w:val="left" w:pos="2160"/>
        </w:tabs>
        <w:ind w:left="0" w:firstLine="0"/>
      </w:pPr>
    </w:lvl>
    <w:lvl w:ilvl="1" w:tentative="0">
      <w:start w:val="1"/>
      <w:numFmt w:val="decimalZero"/>
      <w:pStyle w:val="4"/>
      <w:isLgl/>
      <w:lvlText w:val="节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N2FlMDgzOTkwY2YyZmE1YmE4MTZiMmU1NmJiYjAifQ=="/>
  </w:docVars>
  <w:rsids>
    <w:rsidRoot w:val="0C491524"/>
    <w:rsid w:val="0C491524"/>
    <w:rsid w:val="443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afterLines="0" w:line="480" w:lineRule="auto"/>
    </w:pPr>
  </w:style>
  <w:style w:type="paragraph" w:customStyle="1" w:styleId="10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1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2024-07-27T01:08:00Z</dcterms:created>
  <dc:creator>苏州园林</dc:creator>
  <cp:lastModifiedBy>苏州园林</cp:lastModifiedBy>
  <dcterms:modified xsi:type="dcterms:W3CDTF">2024-07-27T01:57:56Z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36E473281B944990BD8E6DB8D52B9232_11</vt:lpwstr>
  </property>
</Properties>
</file>