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0CC6D5">
      <w:pPr>
        <w:spacing w:line="360" w:lineRule="auto"/>
        <w:ind w:firstLine="560" w:firstLineChars="200"/>
        <w:jc w:val="center"/>
        <w:rPr>
          <w:rFonts w:hint="eastAsia" w:ascii="宋体" w:hAnsi="宋体" w:eastAsia="宋体"/>
          <w:sz w:val="24"/>
          <w:szCs w:val="24"/>
        </w:rPr>
      </w:pPr>
      <w:r>
        <w:rPr>
          <w:rFonts w:asciiTheme="minorEastAsia" w:hAnsiTheme="minorEastAsia" w:eastAsiaTheme="minorEastAsia" w:cstheme="minorEastAsia"/>
          <w:b/>
          <w:color w:val="000000" w:themeColor="text1"/>
          <w:sz w:val="28"/>
          <w:szCs w:val="28"/>
          <w14:textFill>
            <w14:solidFill>
              <w14:schemeClr w14:val="tx1"/>
            </w14:solidFill>
          </w14:textFill>
        </w:rPr>
        <w:t>住培管理系统技术参数</w:t>
      </w:r>
    </w:p>
    <w:p w14:paraId="0A7B0F9C">
      <w:pPr>
        <w:spacing w:line="360" w:lineRule="auto"/>
        <w:ind w:firstLine="480" w:firstLineChars="200"/>
        <w:rPr>
          <w:rFonts w:hint="eastAsia" w:ascii="宋体" w:hAnsi="宋体" w:eastAsia="宋体"/>
          <w:sz w:val="24"/>
          <w:szCs w:val="24"/>
          <w:lang w:eastAsia="zh-CN"/>
        </w:rPr>
      </w:pPr>
      <w:r>
        <w:rPr>
          <w:rFonts w:hint="eastAsia" w:ascii="宋体" w:hAnsi="宋体" w:eastAsia="宋体"/>
          <w:sz w:val="24"/>
          <w:szCs w:val="24"/>
        </w:rPr>
        <w:t>1.教学平台总体要求：需包含临床教学管理系统、医学考试系统</w:t>
      </w:r>
      <w:r>
        <w:rPr>
          <w:rFonts w:hint="eastAsia" w:ascii="宋体" w:hAnsi="宋体" w:eastAsia="宋体"/>
          <w:sz w:val="24"/>
          <w:szCs w:val="24"/>
          <w:lang w:eastAsia="zh-CN"/>
        </w:rPr>
        <w:t>。</w:t>
      </w:r>
    </w:p>
    <w:p w14:paraId="6BD8B155">
      <w:pPr>
        <w:spacing w:line="360" w:lineRule="auto"/>
        <w:ind w:firstLine="480" w:firstLineChars="200"/>
        <w:rPr>
          <w:rFonts w:hint="eastAsia" w:ascii="宋体" w:hAnsi="宋体" w:eastAsia="宋体"/>
          <w:sz w:val="24"/>
          <w:szCs w:val="24"/>
        </w:rPr>
      </w:pPr>
      <w:r>
        <w:rPr>
          <w:rFonts w:hint="eastAsia" w:ascii="宋体" w:hAnsi="宋体" w:eastAsia="宋体"/>
          <w:sz w:val="24"/>
          <w:szCs w:val="24"/>
          <w:lang w:val="en-US" w:eastAsia="zh-CN"/>
        </w:rPr>
        <w:t>2.</w:t>
      </w:r>
      <w:r>
        <w:rPr>
          <w:rFonts w:hint="eastAsia" w:ascii="宋体" w:hAnsi="宋体" w:eastAsia="宋体"/>
          <w:sz w:val="24"/>
          <w:szCs w:val="24"/>
        </w:rPr>
        <w:t>平台基于B/S网络架构，WEB网页系统操作，客户端通过浏览器即可完成相关业务操作。多终端应用:支持PC端、APP端（支持Android和IOS）、微信端应用，不同终端设备操作数据可同步，随时随地均可上线访问服务器进行操作。</w:t>
      </w:r>
    </w:p>
    <w:p w14:paraId="32823A09">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3.支持1000个以上客户端同时上线访问服务器，并扩展到无限个客户端接入，支持教学管理一体化平台的系统扩展和功能延伸；支持多个教学管理系统的用户和用户组权限统一设置维护；支持各教学管理模块和系统间数据无缝对接、兼容、共享，支持所有系统模块运行在统一的教学管理一体化平台，达到基础数据共同维护、权限统一管理，实现所有教学过程数据统计分析的结果可视化。</w:t>
      </w:r>
    </w:p>
    <w:p w14:paraId="1E41F3D5">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4.</w:t>
      </w:r>
      <w:r>
        <w:rPr>
          <w:rFonts w:hint="eastAsia"/>
        </w:rPr>
        <w:t xml:space="preserve"> </w:t>
      </w:r>
      <w:r>
        <w:rPr>
          <w:rFonts w:hint="eastAsia" w:ascii="宋体" w:hAnsi="宋体" w:eastAsia="宋体"/>
          <w:sz w:val="24"/>
          <w:szCs w:val="24"/>
        </w:rPr>
        <w:t>临床教学管理系统至少需包括招录管理、轮转管理、出入科管理、教学活动管理、考勤管理、绩效管理、学员及师资档案管理、成绩管理、轮转登记手册管理、结业管理、住宿管理、360</w:t>
      </w:r>
      <w:r>
        <w:rPr>
          <w:rFonts w:hint="eastAsia" w:ascii="宋体" w:hAnsi="宋体" w:eastAsia="宋体"/>
          <w:sz w:val="24"/>
          <w:szCs w:val="24"/>
          <w:vertAlign w:val="superscript"/>
          <w:lang w:val="en-US" w:eastAsia="zh-CN"/>
        </w:rPr>
        <w:t>0</w:t>
      </w:r>
      <w:r>
        <w:rPr>
          <w:rFonts w:hint="eastAsia" w:ascii="宋体" w:hAnsi="宋体" w:eastAsia="宋体"/>
          <w:sz w:val="24"/>
          <w:szCs w:val="24"/>
        </w:rPr>
        <w:t>评估等功能。</w:t>
      </w:r>
    </w:p>
    <w:p w14:paraId="034DE2D5">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4.1.支持在系统中配置多种学员类别，支持将住培生、实习生、进修生、本科生等多种学员类别融合在一套系统中进行统一管理。支持为管理人员配置不同的责任管理学员类别，方便科教管理部门不同人员分开管理各类学员。</w:t>
      </w:r>
    </w:p>
    <w:p w14:paraId="443A4AFC">
      <w:pPr>
        <w:spacing w:line="360" w:lineRule="auto"/>
        <w:ind w:firstLine="480" w:firstLineChars="200"/>
        <w:rPr>
          <w:rFonts w:hint="eastAsia" w:ascii="宋体" w:hAnsi="宋体" w:eastAsia="宋体"/>
          <w:sz w:val="24"/>
          <w:szCs w:val="24"/>
        </w:rPr>
      </w:pPr>
      <w:bookmarkStart w:id="0" w:name="_Hlk172084078"/>
      <w:r>
        <w:rPr>
          <w:rFonts w:hint="eastAsia" w:ascii="宋体" w:hAnsi="宋体" w:eastAsia="宋体"/>
          <w:sz w:val="24"/>
          <w:szCs w:val="24"/>
        </w:rPr>
        <w:t>●</w:t>
      </w:r>
      <w:bookmarkEnd w:id="0"/>
      <w:r>
        <w:rPr>
          <w:rFonts w:hint="eastAsia" w:ascii="宋体" w:hAnsi="宋体" w:eastAsia="宋体"/>
          <w:sz w:val="24"/>
          <w:szCs w:val="24"/>
        </w:rPr>
        <w:t>4.2.科室管理支持树形多层级结构分布，科室树结构至少支持到5层。可将科室分成多个带教组，可设置轮转容量，发布科室介绍，允许一个科室秘书管理多个不同科室。支持为管理人员配置不同的分管科室，方便管理不同的科室及人员。</w:t>
      </w:r>
    </w:p>
    <w:p w14:paraId="2B55039A">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4.3.支持创建自定义角色，可设置和管理不同角色的权限和功能。至少支持设置住培管理员、科教干事、科室主任、教学主任、科室秘书、带教老师等管理角色，支持设置不同的学员角色，支持设置是否是责任导师。支持按自定义角色配置手机端显示的功能，支持按自定义角色配置电脑管理端显示的菜单。</w:t>
      </w:r>
    </w:p>
    <w:p w14:paraId="13C058B0">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4.4.支持账号锁定功能，可设定是否开启锁定，支持未及时申请出科、未及时出科鉴定等多种账号自动锁定的控制功能。</w:t>
      </w:r>
    </w:p>
    <w:p w14:paraId="5F7BAF6F">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4.5.支持配置各类提醒功能的开关起停用状态，配置是发送短信提醒还是微信提醒，亦或手机端红点提醒。需要支持对学员、带教老师、科室秘书等多种角色进行提醒。支持微信服务通知模式，支持教学活动、考勤、出科申请等至少15种业务的微信通知服务，是否使用微信通知可逐项开关设置起停用状态。</w:t>
      </w:r>
    </w:p>
    <w:p w14:paraId="6B742A6F">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4.6.</w:t>
      </w:r>
      <w:r>
        <w:rPr>
          <w:rFonts w:hint="eastAsia"/>
        </w:rPr>
        <w:t xml:space="preserve"> </w:t>
      </w:r>
      <w:r>
        <w:rPr>
          <w:rFonts w:hint="eastAsia" w:ascii="宋体" w:hAnsi="宋体" w:eastAsia="宋体"/>
          <w:sz w:val="24"/>
          <w:szCs w:val="24"/>
        </w:rPr>
        <w:t>根据不同的角色在首页显示不同的待办工作，应包含今日日程、待办工作、审核待办功能，方便管理人员及时掌握自己应处理的工作事项。</w:t>
      </w:r>
    </w:p>
    <w:p w14:paraId="756CC049">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●4.7.支持最新版基地评估指标要求中关于培训基地网站需要有住培专栏的要求，支持在科教、科室门户专栏模块中发布国家、地方及基地住培相关政策制度宣传文案、政策等各类信息动态.</w:t>
      </w:r>
    </w:p>
    <w:p w14:paraId="39B35519">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4.8.成绩管理支持登记学员各类平时成绩，可单独登记学员年度考核、季度考核、月度考核分项成绩，支持单独登记执业医师资格证考试成绩，支持自定义分类考试成绩登记。</w:t>
      </w:r>
    </w:p>
    <w:p w14:paraId="65CDE4D4">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4.9. 档案管理支持管理部门批量导出多学员的照片附件，批量导出的人员名单可筛选范围，导出的压缩包文件中包含的照片文件名需支持管理人员自定义。</w:t>
      </w:r>
    </w:p>
    <w:p w14:paraId="40F6E57C">
      <w:pPr>
        <w:spacing w:line="360" w:lineRule="auto"/>
        <w:rPr>
          <w:rFonts w:hint="eastAsia" w:ascii="宋体" w:hAnsi="宋体" w:eastAsia="宋体"/>
          <w:sz w:val="24"/>
          <w:szCs w:val="24"/>
        </w:rPr>
      </w:pPr>
      <w:r>
        <w:rPr>
          <w:rFonts w:hint="eastAsia" w:ascii="宋体" w:hAnsi="宋体" w:eastAsia="宋体"/>
          <w:sz w:val="24"/>
          <w:szCs w:val="24"/>
        </w:rPr>
        <w:t>支持学员档案汇总生涯页面，在一个页面中显示学员档案综合信息。支持将学员档案直接导出生成在一份word文档中，该文档需包含学员的完整轮转生涯，以及参加的教学活动清单。</w:t>
      </w:r>
    </w:p>
    <w:p w14:paraId="650B2DCD">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sz w:val="24"/>
          <w:szCs w:val="24"/>
        </w:rPr>
        <w:t>4.10.</w:t>
      </w:r>
      <w:r>
        <w:rPr>
          <w:rFonts w:hint="eastAsia" w:ascii="宋体" w:hAnsi="宋体" w:eastAsia="宋体"/>
          <w:color w:val="000000" w:themeColor="text1"/>
          <w:sz w:val="24"/>
          <w:szCs w:val="24"/>
          <w14:textFill>
            <w14:solidFill>
              <w14:schemeClr w14:val="tx1"/>
            </w14:solidFill>
          </w14:textFill>
        </w:rPr>
        <w:t>轮转管理内置国家轮转大纲及细则模块，支持不同参培年份的学员使用不同标准，可适配国家、省及自定义培训细则内容。系统内置西医2022国家标准、西医2014国家标准、西医2020重症医学科标准、西医2020助理全科国家标准、西医2019全科标准、西医2019全科转岗标准。</w:t>
      </w:r>
    </w:p>
    <w:p w14:paraId="42EE379B">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4.11.轮转管理支持智能排班：系统内置智能排版模块，支持按周/半月/月进行轮转排班；支持结合轮转排班模板、科室负载情况自动排班。支持排班结果微调后再发布，支持备份/还原/调整排班结果，支持批量调整后一次性发布。</w:t>
      </w:r>
    </w:p>
    <w:p w14:paraId="28200FAB">
      <w:pPr>
        <w:spacing w:line="360" w:lineRule="auto"/>
        <w:rPr>
          <w:rFonts w:hint="eastAsia" w:ascii="宋体" w:hAnsi="宋体" w:eastAsia="宋体"/>
          <w:sz w:val="24"/>
          <w:szCs w:val="24"/>
        </w:rPr>
      </w:pPr>
      <w:r>
        <w:rPr>
          <w:rFonts w:hint="eastAsia" w:ascii="宋体" w:hAnsi="宋体" w:eastAsia="宋体"/>
          <w:sz w:val="24"/>
          <w:szCs w:val="24"/>
        </w:rPr>
        <w:t>支持按专业创建单独的轮转排班模板，支持多专业同时排班。支持轮转计划批量导入，支持横排轮转计划格式导入，支持竖排轮转计划格式导入，支持导入时由用户自行选择是否覆盖亦或清除，支持导入时由用户自行确定是否需要合并相同的轮转计划为一条。支持按周、按半月、按月、分阶段生成或导入轮转计划。支持开关配置是否允许学员或带教老师看到未来的轮转计划。支持查看轮转计划的所有变动历史记录。支持将一批轮转计划归组到一个轮转表，支持轮转计划拆分、合并。支持微调轮转计划，通过上下移或拖拽方式进行调整，支持批量生效，微调完毕未保存之前即可预查询调整后产生的效果，体现对科室轮转人数及是否超容量的影响。支持轮转计划拆分、合并。</w:t>
      </w:r>
    </w:p>
    <w:p w14:paraId="36826A77">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4.12.出科管理支持自行配置出科的各类成绩项，可设置成绩项是否使用、是否必填才允许出科。支持设置成绩项权重，支持按权重自动计算出科总成绩。支持设置自定义成绩项，学员综合成绩只显示启用的成绩项，出科鉴定表能直观实时体现自定义成绩项支持每个成绩项都可以上传佐证附件，并支持上传多个附件。</w:t>
      </w:r>
    </w:p>
    <w:p w14:paraId="02AABB97">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4.13.</w:t>
      </w:r>
      <w:r>
        <w:rPr>
          <w:rFonts w:hint="eastAsia"/>
        </w:rPr>
        <w:t xml:space="preserve"> </w:t>
      </w:r>
      <w:r>
        <w:rPr>
          <w:rFonts w:hint="eastAsia" w:ascii="宋体" w:hAnsi="宋体" w:eastAsia="宋体"/>
          <w:sz w:val="24"/>
          <w:szCs w:val="24"/>
        </w:rPr>
        <w:t>轮转登记手册管理支持学员自行登录管理后台维护和管理电子轮转手册，支持自行录入和批量导入电子轮转手册记录，支持学员直接查看轮转是否已经达到国家轮转大纲及细则规定的数量要求，支持直接查看国家轮转大纲及细则的手册。支持批量导出学员的全部轮转记录为一份Word，用于向相关单位申请结业。导出的具体章节内容可自行选择，至少应包含出科申请、出科小结、带教评语、出科考核结果、过程记录、教学活动记录，出科附件、病历书写照片等，支持自行选择是否导出全部轮转记录。</w:t>
      </w:r>
    </w:p>
    <w:p w14:paraId="328CCA37">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4.14. 轮转管理内置统计报表模块，可按学员、科室、基地等维度统计轮转情况。轮转管理支持老师带教人数、科室/基地/学校轮转人数、科室轮转带教天数、带教老师申请热等各类轮转统计报表。支持统计学员登记手册填写的要求数、填写数、完成率。统计要求需根据树形科室上下级报表统计需要，应支持下级科室的统计数据合并到上级科室数据、下级科室的数据单独体现与上级科室数据相互独立、上级数据自动虚拟为下一级单列数据上级数据合并下级所有科室数据等3种统计结果。</w:t>
      </w:r>
    </w:p>
    <w:p w14:paraId="3A8BF9D8">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●4.15.</w:t>
      </w:r>
      <w:r>
        <w:rPr>
          <w:rFonts w:hint="eastAsia"/>
        </w:rPr>
        <w:t xml:space="preserve"> </w:t>
      </w:r>
      <w:r>
        <w:rPr>
          <w:rFonts w:hint="eastAsia" w:ascii="宋体" w:hAnsi="宋体" w:eastAsia="宋体"/>
          <w:sz w:val="24"/>
          <w:szCs w:val="24"/>
        </w:rPr>
        <w:t>教学活动管理中活动类别可配置，支持配置病例讨论、教学查房、小讲课等不同教学活动类别各自的参数，支持自定义教学活动类别对应为国家标准教学活动类别。教学活动类别配合不同的达标计算因子，自动计算达标。达标计算因子至少应包括签到率要求、现场照片数量要求、测评率要求等。达标教学活动展示时能与普通教学活动有明显区别，引导教学实施部门踊跃举办教学活动。支持全院公示标杆教学活动，并支持对公示活动进行留言及互动。允许选择历史课件，无需再次或重复上传相同课件，提高创建教学活动的速度。支持各类课件和教案直接在线预览，需支持PDF、Word、Excel、PPT文档的在线预览。教学管理支持学员教员参活次数、教学类别次数年报等至少10种不同统计口径的月年报统计报表。支持配置督导专家组，并指定专家组成员。支持批量、随机指定督导专家。支持在线填写整改报告，督导专家可审核并确认整改情况，支持导出督导报告。</w:t>
      </w:r>
    </w:p>
    <w:p w14:paraId="463A5039">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4.16．考勤管理支持跨天打卡考勤，第一天晚上打卡签到跨到第二天能自动提示签退。支持设置是否允许补考勤，设置每周允许补考勤的次数，设置未排考勤班次时能自由打卡等各类考勤细节控制参数。支持扫码打卡(支持一天双卡，一天四卡)和定位打卡，支持可根据不同的考勤班次单独为每个班次设定是采用扫码打卡还是定位打卡，或者两者都用。</w:t>
      </w:r>
    </w:p>
    <w:p w14:paraId="31D0FBA0">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4.17.</w:t>
      </w:r>
      <w:r>
        <w:rPr>
          <w:rFonts w:hint="eastAsia"/>
        </w:rPr>
        <w:t xml:space="preserve"> </w:t>
      </w:r>
      <w:r>
        <w:rPr>
          <w:rFonts w:hint="eastAsia" w:ascii="宋体" w:hAnsi="宋体" w:eastAsia="宋体"/>
          <w:sz w:val="24"/>
          <w:szCs w:val="24"/>
        </w:rPr>
        <w:t>考勤管理支持自定义请假类型，每个请假类型可配置多个请假审核流程，每个流程都支持多角色审核。请假可关联补轮转计划，如果请假时间较长能自动追加请假时的轮转计划，以便达到国家规定的轮转时长要求。支持生成不允许修改的请假单PDF并进行打印。请假单内嵌防伪条形码。可自定义请假审核流程，根据请假天数设置不同的审核人员和审核环节，支持维护请假规定、安全协议等。</w:t>
      </w:r>
    </w:p>
    <w:p w14:paraId="4B77872E">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4.18.</w:t>
      </w:r>
      <w:r>
        <w:rPr>
          <w:rFonts w:hint="eastAsia"/>
        </w:rPr>
        <w:t xml:space="preserve"> </w:t>
      </w:r>
      <w:r>
        <w:rPr>
          <w:rFonts w:hint="eastAsia" w:ascii="宋体" w:hAnsi="宋体" w:eastAsia="宋体"/>
          <w:sz w:val="24"/>
          <w:szCs w:val="24"/>
        </w:rPr>
        <w:t>宿舍管理支持人员自动分配宿舍，并支持顺序分配、均衡分配等多种分配方式。</w:t>
      </w:r>
    </w:p>
    <w:p w14:paraId="05BE83FF">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4.19.招录管理可配置招录活动时间、内容、标题。可配置招录指标要求。支持配置是否需要上传各类证明材料。可根据配置动态显示和控制是否必传。支持导出的报名表内嵌防伪码，且一人一号。支持生成准考证PDF，准考证内嵌防伪码。</w:t>
      </w:r>
    </w:p>
    <w:p w14:paraId="6E19FFC1">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4.20.360评估管理可按简易、标准、高级模式进行配置，系统内评估表分为三类：协会官方、系统推荐和自定义，协会官方为中国医师协会指定指标，系统推荐为系统组建，自定义有基地自行建设，支持不同维度的评估需求。</w:t>
      </w:r>
    </w:p>
    <w:p w14:paraId="01317E10">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4.21.360评估管理对所有评估关系进行管理，支持自定义评估关系；评估关系共分为三类：互评、单向评估和自评，可选择手动或自动生成评估报告，支持自定义权重，根据不同的评估人所占权重计算得分，生成报告。手机端可查看自己的评估报告。</w:t>
      </w:r>
    </w:p>
    <w:p w14:paraId="4B48E81F">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5.</w:t>
      </w:r>
      <w:r>
        <w:rPr>
          <w:rFonts w:hint="eastAsia"/>
        </w:rPr>
        <w:t xml:space="preserve"> </w:t>
      </w:r>
      <w:r>
        <w:rPr>
          <w:rFonts w:hint="eastAsia" w:ascii="宋体" w:hAnsi="宋体" w:eastAsia="宋体"/>
          <w:sz w:val="24"/>
          <w:szCs w:val="24"/>
        </w:rPr>
        <w:t>医学考试系统需包括系统及题库，系统需包含教师PC Web端、考生PC端（Web端、客户端）、考生移动端；教师PC Web端需包括题库管理、考试管理、成绩管理、用户管理、角色管理、部门管理等。考生移动端需包括正式考试、考试码考试、能力测评、考试记录、我的错题、我的笔记、我的收藏、系统及自建题库练习等功能。考生PC端需包括统计中心、我的考试、考试记录、系统题库练习、自建题库练习、我的错题、我的收藏、我的纠错、我的笔记等功能。</w:t>
      </w:r>
    </w:p>
    <w:p w14:paraId="6654D38A">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●5.1.需至少提供5种组卷方式，包括不限于手动组卷、自动组卷、随机组卷、智能组卷、以卷组卷功能。可支持按知识点或题型组卷,可跨题库,跨学科、跨专业组卷。</w:t>
      </w:r>
    </w:p>
    <w:p w14:paraId="5F2EA05B">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5.2.支持批量考务(可以分批次科目进行考试、批量导出/导入考试信息、批量设置考试时间),批量导出参考人员、批量一键收卷、批量监控考试、考试的启用与停用。可以设置重新考试、加入考生/带入考生/删除考生/导出参考人员、恢复考试、强制交卷/一键收卷功能。</w:t>
      </w:r>
    </w:p>
    <w:p w14:paraId="62AD4645">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5.3需支持抽题排重：题干相似度排重、抽题时间排重、指定试卷排重、随机试卷及份数、支持按比例抽题。试卷和考试支持自定义分类；试卷和考试（考务）独立分开，试卷和考试可各自复用。</w:t>
      </w:r>
    </w:p>
    <w:p w14:paraId="6995D4FB">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5.4需支持位置定位签到、人脸识别、切屏限制、随机抓拍、绑定设备、答题随机截屏、无操作交卷等致少6种防作弊功能；数据实时存储:支持答一题存一题功能,答题记录实时存储在服务器端,支持异常中断后继续上次答题。</w:t>
      </w:r>
    </w:p>
    <w:p w14:paraId="59FE46C8">
      <w:pPr>
        <w:spacing w:line="360" w:lineRule="auto"/>
        <w:ind w:firstLine="480" w:firstLineChars="200"/>
        <w:rPr>
          <w:rFonts w:hint="eastAsia" w:ascii="宋体" w:hAnsi="宋体" w:eastAsia="宋体"/>
          <w:sz w:val="24"/>
          <w:szCs w:val="24"/>
          <w:lang w:val="en-US" w:eastAsia="zh-CN"/>
        </w:rPr>
      </w:pPr>
      <w:r>
        <w:rPr>
          <w:rFonts w:hint="eastAsia" w:ascii="宋体" w:hAnsi="宋体" w:eastAsia="宋体"/>
          <w:sz w:val="24"/>
          <w:szCs w:val="24"/>
        </w:rPr>
        <w:t>●5.5至少需要包括西医住培题库、执业医师题库</w:t>
      </w:r>
      <w:r>
        <w:rPr>
          <w:rFonts w:hint="eastAsia" w:ascii="宋体" w:hAnsi="宋体" w:eastAsia="宋体"/>
          <w:sz w:val="24"/>
          <w:szCs w:val="24"/>
          <w:lang w:eastAsia="zh-CN"/>
        </w:rPr>
        <w:t>、</w:t>
      </w:r>
      <w:r>
        <w:rPr>
          <w:rFonts w:hint="eastAsia" w:ascii="宋体" w:hAnsi="宋体" w:eastAsia="宋体"/>
          <w:sz w:val="24"/>
          <w:szCs w:val="24"/>
          <w:lang w:val="en-US" w:eastAsia="zh-CN"/>
        </w:rPr>
        <w:t>三基题库</w:t>
      </w:r>
      <w:r>
        <w:rPr>
          <w:rFonts w:hint="eastAsia" w:ascii="宋体" w:hAnsi="宋体" w:eastAsia="宋体"/>
          <w:sz w:val="24"/>
          <w:szCs w:val="24"/>
        </w:rPr>
        <w:t>，</w:t>
      </w:r>
      <w:r>
        <w:rPr>
          <w:rFonts w:hint="eastAsia" w:ascii="宋体" w:hAnsi="宋体" w:eastAsia="宋体"/>
          <w:sz w:val="24"/>
          <w:szCs w:val="24"/>
          <w:lang w:val="en-US" w:eastAsia="zh-CN"/>
        </w:rPr>
        <w:t>试题总量不低于200万道，其中住培考核题库不低于150万道，医师资格不低于30万，医学三基不低于30万</w:t>
      </w:r>
      <w:r>
        <w:rPr>
          <w:rFonts w:hint="eastAsia" w:ascii="宋体" w:hAnsi="宋体" w:eastAsia="宋体"/>
          <w:sz w:val="24"/>
          <w:szCs w:val="24"/>
        </w:rPr>
        <w:t>，执业医师题库</w:t>
      </w:r>
      <w:r>
        <w:rPr>
          <w:rFonts w:hint="eastAsia" w:ascii="宋体" w:hAnsi="宋体" w:eastAsia="宋体"/>
          <w:sz w:val="24"/>
          <w:szCs w:val="24"/>
          <w:lang w:val="en-US" w:eastAsia="zh-CN"/>
        </w:rPr>
        <w:t>：历年执业医师考试试题及模拟试卷，紧扣执业医师考试大纲，覆盖执业医师考点，与多家院校及基地专家合作，包含各大出版社出版的模拟试卷和模拟习题。医学三基：包括医师、护理、医技等三大题库，内容包括基础医学、临床医学、基本技能、医学人文等，能够满足医院临床三基训练及水平提升的需要。住培考核：根据《住院医师规范化培训内容与标准》设计，紧贴国家住院医师规范化培训考试政策，并及时更新题库，始终保证更新最快，试题最权威。</w:t>
      </w:r>
    </w:p>
    <w:p w14:paraId="339A8D53">
      <w:pPr>
        <w:spacing w:line="360" w:lineRule="auto"/>
        <w:ind w:firstLine="480" w:firstLineChars="200"/>
        <w:rPr>
          <w:rFonts w:hint="eastAsia" w:ascii="宋体" w:hAnsi="宋体" w:eastAsia="宋体"/>
          <w:sz w:val="24"/>
          <w:szCs w:val="24"/>
          <w:lang w:val="en-US" w:eastAsia="zh-CN"/>
        </w:rPr>
      </w:pPr>
      <w:r>
        <w:rPr>
          <w:rFonts w:hint="eastAsia" w:ascii="宋体" w:hAnsi="宋体" w:eastAsia="宋体"/>
          <w:sz w:val="24"/>
          <w:szCs w:val="24"/>
        </w:rPr>
        <w:t>●</w:t>
      </w:r>
      <w:r>
        <w:rPr>
          <w:rFonts w:hint="eastAsia" w:ascii="宋体" w:hAnsi="宋体" w:eastAsia="宋体"/>
          <w:sz w:val="24"/>
          <w:szCs w:val="24"/>
          <w:lang w:val="en-US" w:eastAsia="zh-CN"/>
        </w:rPr>
        <w:t>5.6题型全面：支持A1(单项最佳选择题)，A2(病例摘要型最佳选择题)，A3/A4(病例组型最佳选择题)，B型题(标准配伍题)，X型题(多项选择题)，C型题(综合分析选择题)，案例分析题，填空题，判断题，简答题，名词解释题。其中案例分析题在答题时，符合国家考试要求，不能回退作答。</w:t>
      </w:r>
    </w:p>
    <w:p w14:paraId="08A494C8">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w:t>
      </w:r>
      <w:r>
        <w:rPr>
          <w:rFonts w:hint="eastAsia" w:ascii="宋体" w:hAnsi="宋体" w:eastAsia="宋体"/>
          <w:sz w:val="24"/>
          <w:szCs w:val="24"/>
          <w:lang w:val="en-US" w:eastAsia="zh-CN"/>
        </w:rPr>
        <w:t>5.7所有试题需标注难度，难度分为简单</w:t>
      </w:r>
      <w:r>
        <w:rPr>
          <w:rFonts w:hint="eastAsia" w:ascii="宋体" w:hAnsi="宋体" w:eastAsia="宋体"/>
          <w:sz w:val="24"/>
          <w:szCs w:val="24"/>
        </w:rPr>
        <w:t>、中等、较难三种，每种难度对应标注难度系数。难度系数精确到小数点后两位。可根据答题情况实时变化。可支持自建题库，自建题库支持自定义分类、自定义标签;自建试题可以文件导入、单个录入、批量录入。</w:t>
      </w:r>
    </w:p>
    <w:p w14:paraId="33403A0E">
      <w:pPr>
        <w:pStyle w:val="12"/>
        <w:keepNext w:val="0"/>
        <w:keepLines w:val="0"/>
        <w:suppressLineNumbers w:val="0"/>
        <w:spacing w:before="0" w:beforeAutospacing="0" w:after="0" w:afterAutospacing="0"/>
        <w:ind w:left="0" w:right="0" w:firstLine="480" w:firstLineChars="200"/>
        <w:jc w:val="both"/>
        <w:rPr>
          <w:rFonts w:hint="eastAsia" w:ascii="宋体" w:hAnsi="宋体" w:eastAsia="宋体" w:cstheme="minorBidi"/>
          <w:color w:val="auto"/>
          <w:kern w:val="2"/>
          <w:sz w:val="24"/>
          <w:szCs w:val="24"/>
          <w:lang w:val="en-US" w:eastAsia="zh-CN" w:bidi="ar-SA"/>
        </w:rPr>
      </w:pPr>
      <w:r>
        <w:rPr>
          <w:rFonts w:hint="eastAsia" w:ascii="宋体" w:hAnsi="宋体" w:eastAsia="宋体"/>
          <w:sz w:val="24"/>
          <w:szCs w:val="24"/>
        </w:rPr>
        <w:t>●</w:t>
      </w:r>
      <w:r>
        <w:rPr>
          <w:rFonts w:hint="eastAsia" w:ascii="宋体" w:hAnsi="宋体" w:eastAsia="宋体" w:cstheme="minorBidi"/>
          <w:color w:val="auto"/>
          <w:kern w:val="2"/>
          <w:sz w:val="24"/>
          <w:szCs w:val="24"/>
          <w:lang w:val="en-US" w:eastAsia="zh-CN" w:bidi="ar-SA"/>
        </w:rPr>
        <w:t>5.8支持多种组卷方式：智能组卷、手动组卷、自动组卷、随机组卷、以卷组卷。智能组卷支持抽题排重：题干相似度排重、抽题时间排重、指定试卷排重、随机试卷及份数、支持按比例抽题。</w:t>
      </w:r>
    </w:p>
    <w:p w14:paraId="14CF049B">
      <w:pPr>
        <w:pStyle w:val="12"/>
        <w:keepNext w:val="0"/>
        <w:keepLines w:val="0"/>
        <w:suppressLineNumbers w:val="0"/>
        <w:spacing w:before="0" w:beforeAutospacing="0" w:after="0" w:afterAutospacing="0"/>
        <w:ind w:left="0" w:right="0" w:firstLine="480" w:firstLineChars="200"/>
        <w:jc w:val="both"/>
        <w:rPr>
          <w:rFonts w:hint="eastAsia" w:ascii="宋体" w:hAnsi="宋体" w:eastAsia="宋体" w:cstheme="minorBidi"/>
          <w:color w:val="auto"/>
          <w:kern w:val="2"/>
          <w:sz w:val="24"/>
          <w:szCs w:val="24"/>
          <w:lang w:val="en-US" w:eastAsia="zh-CN" w:bidi="ar-SA"/>
        </w:rPr>
      </w:pPr>
      <w:r>
        <w:rPr>
          <w:rFonts w:hint="eastAsia" w:ascii="宋体" w:hAnsi="宋体" w:eastAsia="宋体" w:cstheme="minorBidi"/>
          <w:color w:val="auto"/>
          <w:kern w:val="2"/>
          <w:sz w:val="24"/>
          <w:szCs w:val="24"/>
          <w:lang w:val="en-US" w:eastAsia="zh-CN" w:bidi="ar-SA"/>
        </w:rPr>
        <w:t>●5.9试题乱序：试卷支持试题乱序可将试卷题序打乱，选项乱序可将选择题选项随机试卷可见范围：支持设置试卷可见部门仅指定部门可见。</w:t>
      </w:r>
    </w:p>
    <w:p w14:paraId="05F1C0AC">
      <w:pPr>
        <w:pStyle w:val="12"/>
        <w:keepNext w:val="0"/>
        <w:keepLines w:val="0"/>
        <w:suppressLineNumbers w:val="0"/>
        <w:spacing w:before="0" w:beforeAutospacing="0" w:after="0" w:afterAutospacing="0"/>
        <w:ind w:left="0" w:right="0" w:firstLine="480" w:firstLineChars="200"/>
        <w:jc w:val="both"/>
        <w:rPr>
          <w:rFonts w:hint="eastAsia" w:ascii="宋体" w:hAnsi="宋体" w:eastAsia="宋体" w:cstheme="minorBidi"/>
          <w:color w:val="auto"/>
          <w:kern w:val="2"/>
          <w:sz w:val="24"/>
          <w:szCs w:val="24"/>
          <w:lang w:val="en-US" w:eastAsia="zh-CN" w:bidi="ar-SA"/>
        </w:rPr>
      </w:pPr>
      <w:r>
        <w:rPr>
          <w:rFonts w:hint="eastAsia" w:ascii="宋体" w:hAnsi="宋体" w:eastAsia="宋体" w:cstheme="minorBidi"/>
          <w:color w:val="auto"/>
          <w:kern w:val="2"/>
          <w:sz w:val="24"/>
          <w:szCs w:val="24"/>
          <w:lang w:val="en-US" w:eastAsia="zh-CN" w:bidi="ar-SA"/>
        </w:rPr>
        <w:t>●5.</w:t>
      </w:r>
      <w:r>
        <w:rPr>
          <w:rFonts w:hint="eastAsia" w:hAnsi="宋体" w:cstheme="minorBidi"/>
          <w:color w:val="auto"/>
          <w:kern w:val="2"/>
          <w:sz w:val="24"/>
          <w:szCs w:val="24"/>
          <w:lang w:val="en-US" w:eastAsia="zh-CN" w:bidi="ar-SA"/>
        </w:rPr>
        <w:t>10</w:t>
      </w:r>
      <w:r>
        <w:rPr>
          <w:rFonts w:hint="eastAsia" w:ascii="宋体" w:hAnsi="宋体" w:eastAsia="宋体" w:cstheme="minorBidi"/>
          <w:color w:val="auto"/>
          <w:kern w:val="2"/>
          <w:sz w:val="24"/>
          <w:szCs w:val="24"/>
          <w:lang w:val="en-US" w:eastAsia="zh-CN" w:bidi="ar-SA"/>
        </w:rPr>
        <w:t>复制试卷：按原样复制保持试题不变，按试题规则复制提取试卷规则更换试题。</w:t>
      </w:r>
    </w:p>
    <w:p w14:paraId="5F677BFE">
      <w:pPr>
        <w:pStyle w:val="12"/>
        <w:keepNext w:val="0"/>
        <w:keepLines w:val="0"/>
        <w:suppressLineNumbers w:val="0"/>
        <w:spacing w:before="0" w:beforeAutospacing="0" w:after="0" w:afterAutospacing="0"/>
        <w:ind w:left="0" w:right="0" w:firstLine="480" w:firstLineChars="200"/>
        <w:jc w:val="both"/>
        <w:rPr>
          <w:rFonts w:hint="eastAsia" w:ascii="宋体" w:hAnsi="宋体" w:eastAsia="宋体" w:cstheme="minorBidi"/>
          <w:color w:val="auto"/>
          <w:kern w:val="2"/>
          <w:sz w:val="24"/>
          <w:szCs w:val="24"/>
          <w:lang w:val="en-US" w:eastAsia="zh-CN" w:bidi="ar-SA"/>
        </w:rPr>
      </w:pPr>
      <w:r>
        <w:rPr>
          <w:rFonts w:hint="eastAsia" w:ascii="宋体" w:hAnsi="宋体" w:eastAsia="宋体" w:cstheme="minorBidi"/>
          <w:color w:val="auto"/>
          <w:kern w:val="2"/>
          <w:sz w:val="24"/>
          <w:szCs w:val="24"/>
          <w:lang w:val="en-US" w:eastAsia="zh-CN" w:bidi="ar-SA"/>
        </w:rPr>
        <w:t>●5.</w:t>
      </w:r>
      <w:r>
        <w:rPr>
          <w:rFonts w:hint="eastAsia" w:hAnsi="宋体" w:cstheme="minorBidi"/>
          <w:color w:val="auto"/>
          <w:kern w:val="2"/>
          <w:sz w:val="24"/>
          <w:szCs w:val="24"/>
          <w:lang w:val="en-US" w:eastAsia="zh-CN" w:bidi="ar-SA"/>
        </w:rPr>
        <w:t>11</w:t>
      </w:r>
      <w:r>
        <w:rPr>
          <w:rFonts w:hint="eastAsia" w:ascii="宋体" w:hAnsi="宋体" w:eastAsia="宋体" w:cstheme="minorBidi"/>
          <w:color w:val="auto"/>
          <w:kern w:val="2"/>
          <w:sz w:val="24"/>
          <w:szCs w:val="24"/>
          <w:lang w:val="en-US" w:eastAsia="zh-CN" w:bidi="ar-SA"/>
        </w:rPr>
        <w:t>试卷加密解密，系统支持组卷人对试卷进行加密解密。试卷和考试支持自定义分类；试卷和考试（考务）独立分开，试卷和考试可各自复用。</w:t>
      </w:r>
    </w:p>
    <w:p w14:paraId="042CEB3B">
      <w:pPr>
        <w:pStyle w:val="12"/>
        <w:keepNext w:val="0"/>
        <w:keepLines w:val="0"/>
        <w:suppressLineNumbers w:val="0"/>
        <w:spacing w:before="0" w:beforeAutospacing="0" w:after="0" w:afterAutospacing="0"/>
        <w:ind w:left="0" w:right="0" w:firstLine="480" w:firstLineChars="200"/>
        <w:jc w:val="both"/>
        <w:rPr>
          <w:rFonts w:hint="eastAsia" w:ascii="宋体" w:hAnsi="宋体" w:eastAsia="宋体" w:cstheme="minorBidi"/>
          <w:color w:val="auto"/>
          <w:kern w:val="2"/>
          <w:sz w:val="24"/>
          <w:szCs w:val="24"/>
          <w:lang w:val="en-US" w:eastAsia="zh-CN" w:bidi="ar-SA"/>
        </w:rPr>
      </w:pPr>
      <w:r>
        <w:rPr>
          <w:rFonts w:hint="eastAsia" w:ascii="宋体" w:hAnsi="宋体" w:eastAsia="宋体" w:cstheme="minorBidi"/>
          <w:color w:val="auto"/>
          <w:kern w:val="2"/>
          <w:sz w:val="24"/>
          <w:szCs w:val="24"/>
          <w:lang w:val="en-US" w:eastAsia="zh-CN" w:bidi="ar-SA"/>
        </w:rPr>
        <w:t>●5.12防作弊机制：位置定位签到、人脸识别、切屏限制（支持自定义解锁码及解锁机会）、随机抓拍、绑定设备、答题随机截屏、无操作交卷、试题水印。</w:t>
      </w:r>
    </w:p>
    <w:p w14:paraId="49FE478E">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w:t>
      </w:r>
      <w:r>
        <w:rPr>
          <w:rFonts w:hint="eastAsia" w:ascii="宋体" w:hAnsi="宋体" w:eastAsia="宋体"/>
          <w:color w:val="000000" w:themeColor="text1"/>
          <w:sz w:val="24"/>
          <w:szCs w:val="24"/>
          <w:lang w:val="en-US" w:eastAsia="zh-CN"/>
          <w14:textFill>
            <w14:solidFill>
              <w14:schemeClr w14:val="tx1"/>
            </w14:solidFill>
          </w14:textFill>
        </w:rPr>
        <w:t>6</w:t>
      </w:r>
      <w:r>
        <w:rPr>
          <w:rFonts w:hint="eastAsia" w:ascii="宋体" w:hAnsi="宋体" w:eastAsia="宋体"/>
          <w:color w:val="000000" w:themeColor="text1"/>
          <w:sz w:val="24"/>
          <w:szCs w:val="24"/>
          <w14:textFill>
            <w14:solidFill>
              <w14:schemeClr w14:val="tx1"/>
            </w14:solidFill>
          </w14:textFill>
        </w:rPr>
        <w:t>.1.三基知识库包需含临床医学本科52门数字化教材，总文字量≥于</w:t>
      </w:r>
      <w:r>
        <w:rPr>
          <w:rFonts w:hint="default" w:ascii="宋体" w:hAnsi="宋体" w:eastAsia="宋体"/>
          <w:color w:val="000000" w:themeColor="text1"/>
          <w:sz w:val="24"/>
          <w:szCs w:val="24"/>
          <w14:textFill>
            <w14:solidFill>
              <w14:schemeClr w14:val="tx1"/>
            </w14:solidFill>
          </w14:textFill>
        </w:rPr>
        <w:t>3</w:t>
      </w:r>
      <w:r>
        <w:rPr>
          <w:rFonts w:hint="eastAsia" w:ascii="宋体" w:hAnsi="宋体" w:eastAsia="宋体"/>
          <w:color w:val="000000" w:themeColor="text1"/>
          <w:sz w:val="24"/>
          <w:szCs w:val="24"/>
          <w14:textFill>
            <w14:solidFill>
              <w14:schemeClr w14:val="tx1"/>
            </w14:solidFill>
          </w14:textFill>
        </w:rPr>
        <w:t>000万字。高清多媒体图片≥</w:t>
      </w:r>
      <w:r>
        <w:rPr>
          <w:rFonts w:hint="default" w:ascii="宋体" w:hAnsi="宋体" w:eastAsia="宋体"/>
          <w:color w:val="000000" w:themeColor="text1"/>
          <w:sz w:val="24"/>
          <w:szCs w:val="24"/>
          <w14:textFill>
            <w14:solidFill>
              <w14:schemeClr w14:val="tx1"/>
            </w14:solidFill>
          </w14:textFill>
        </w:rPr>
        <w:t>28</w:t>
      </w:r>
      <w:r>
        <w:rPr>
          <w:rFonts w:hint="eastAsia" w:ascii="宋体" w:hAnsi="宋体" w:eastAsia="宋体"/>
          <w:color w:val="000000" w:themeColor="text1"/>
          <w:sz w:val="24"/>
          <w:szCs w:val="24"/>
          <w14:textFill>
            <w14:solidFill>
              <w14:schemeClr w14:val="tx1"/>
            </w14:solidFill>
          </w14:textFill>
        </w:rPr>
        <w:t>000张。二维、三维动画≥1000段。高清医学视频≥1200段。病例、案例分析≥900个。基本功能包括三级目录结构、智能搜索、中英互译、精品教辅、特色书城、个性书架。医学数据库群</w:t>
      </w:r>
    </w:p>
    <w:p w14:paraId="59A86CBF">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w:t>
      </w:r>
      <w:r>
        <w:rPr>
          <w:rFonts w:hint="eastAsia" w:ascii="宋体" w:hAnsi="宋体" w:eastAsia="宋体"/>
          <w:color w:val="000000" w:themeColor="text1"/>
          <w:sz w:val="24"/>
          <w:szCs w:val="24"/>
          <w:lang w:val="en-US" w:eastAsia="zh-CN"/>
          <w14:textFill>
            <w14:solidFill>
              <w14:schemeClr w14:val="tx1"/>
            </w14:solidFill>
          </w14:textFill>
        </w:rPr>
        <w:t>7.1</w:t>
      </w:r>
      <w:r>
        <w:rPr>
          <w:rFonts w:hint="eastAsia" w:ascii="宋体" w:hAnsi="宋体" w:eastAsia="宋体"/>
          <w:color w:val="000000" w:themeColor="text1"/>
          <w:sz w:val="24"/>
          <w:szCs w:val="24"/>
          <w14:textFill>
            <w14:solidFill>
              <w14:schemeClr w14:val="tx1"/>
            </w14:solidFill>
          </w14:textFill>
        </w:rPr>
        <w:t>医学数据库需包含疾病数据库、药品数据库、手术学数据库、辅助检查库、循证证据库、疾病进展库、手术图谱库、医保药品库、临床操作规范库9大数据库。总文字量≥7000万字，高清图谱≥2万幅。数据库内每种药品均应包含药品名称，英文名称，别名，类型，剂型，药物原理，药物效果，适应症，禁忌症，注意事项，不良反应，用法用量，药物相关作用，专家评论等数据索引，可快速切换，精确查找。每个疾病均有疾病名称，英文名称，类别，ICD号，概述，流行病学，病因，发病机制，临床表现，并发症，实验室检查，其他辅助检查，诊断，鉴别诊断，治疗，预后，预防等数据索引，支持精确查找，快速定位。数据库中疾病药品或规范均支持收藏，可反复查看学习，巩固知识。</w:t>
      </w:r>
    </w:p>
    <w:p w14:paraId="424688E0">
      <w:pPr>
        <w:spacing w:line="360" w:lineRule="auto"/>
        <w:ind w:firstLine="480" w:firstLineChars="200"/>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7.2视频教学内容不少于1000例，包含涵临床理论、医学人文、基础操作、临床思维等教学内容（需提供明细清单，内容不重复）。视频直播：可满足医院对直播课程、远程会议等收看需求，应涵盖医院主要学科，定期提供直播类视频教学资源，包括学术会议直播、MOOC公开课等多种形式，各类直播课程年均总次数不少于200节。</w:t>
      </w:r>
    </w:p>
    <w:p w14:paraId="069F706B">
      <w:pPr>
        <w:spacing w:line="360" w:lineRule="auto"/>
        <w:ind w:firstLine="480" w:firstLineChars="200"/>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8.</w:t>
      </w:r>
      <w:r>
        <w:rPr>
          <w:rFonts w:hint="default" w:ascii="宋体" w:hAnsi="宋体" w:eastAsia="宋体"/>
          <w:color w:val="000000" w:themeColor="text1"/>
          <w:sz w:val="24"/>
          <w:szCs w:val="24"/>
          <w:lang w:val="en-US" w:eastAsia="zh-CN"/>
          <w14:textFill>
            <w14:solidFill>
              <w14:schemeClr w14:val="tx1"/>
            </w14:solidFill>
          </w14:textFill>
        </w:rPr>
        <w:t>支持医院教学资源的维护管理，包括上传、管理、权限设置，支持文档、视频等多种文件形式，支持批量上传、修改和删除。支持医院划分本院教学资源的学习权限，可将不同资源开放给不同人员学习。</w:t>
      </w:r>
    </w:p>
    <w:p w14:paraId="69E9DE93">
      <w:pPr>
        <w:spacing w:line="360" w:lineRule="auto"/>
        <w:ind w:firstLine="480" w:firstLineChars="200"/>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9.如停止使用该系统后，支持导出医院、学员所有资料。</w:t>
      </w:r>
    </w:p>
    <w:p w14:paraId="4FD838D0">
      <w:pPr>
        <w:spacing w:line="360" w:lineRule="auto"/>
        <w:ind w:firstLine="480" w:firstLineChars="200"/>
        <w:rPr>
          <w:rFonts w:hint="eastAsia" w:ascii="宋体" w:hAnsi="宋体" w:eastAsia="宋体"/>
          <w:sz w:val="24"/>
          <w:szCs w:val="24"/>
          <w:lang w:val="en-US" w:eastAsia="zh-CN"/>
        </w:rPr>
      </w:pPr>
    </w:p>
    <w:p w14:paraId="764768D4">
      <w:pPr>
        <w:spacing w:line="360" w:lineRule="auto"/>
        <w:ind w:firstLine="480" w:firstLineChars="200"/>
        <w:rPr>
          <w:rFonts w:hint="eastAsia" w:ascii="宋体" w:hAnsi="宋体" w:eastAsia="宋体"/>
          <w:sz w:val="24"/>
          <w:szCs w:val="24"/>
          <w:lang w:val="en-US" w:eastAsia="zh-CN"/>
        </w:rPr>
      </w:pPr>
    </w:p>
    <w:p w14:paraId="07B21666">
      <w:pPr>
        <w:pStyle w:val="2"/>
        <w:rPr>
          <w:rFonts w:hint="eastAsia"/>
          <w:lang w:val="en-US" w:eastAsia="zh-CN"/>
        </w:rPr>
      </w:pPr>
      <w:bookmarkStart w:id="1" w:name="_GoBack"/>
      <w:bookmarkEnd w:id="1"/>
    </w:p>
    <w:p w14:paraId="702098E3">
      <w:pPr>
        <w:spacing w:line="360" w:lineRule="auto"/>
        <w:ind w:firstLine="880" w:firstLineChars="200"/>
        <w:jc w:val="center"/>
        <w:rPr>
          <w:rFonts w:hint="eastAsia" w:ascii="宋体" w:hAnsi="宋体" w:eastAsia="宋体"/>
          <w:sz w:val="44"/>
          <w:szCs w:val="44"/>
          <w:lang w:val="en-US" w:eastAsia="zh-CN"/>
        </w:rPr>
      </w:pPr>
      <w:r>
        <w:rPr>
          <w:rFonts w:hint="eastAsia" w:ascii="宋体" w:hAnsi="宋体" w:eastAsia="宋体"/>
          <w:sz w:val="44"/>
          <w:szCs w:val="44"/>
          <w:lang w:val="en-US" w:eastAsia="zh-CN"/>
        </w:rPr>
        <w:t>报价单</w:t>
      </w:r>
    </w:p>
    <w:tbl>
      <w:tblPr>
        <w:tblStyle w:val="7"/>
        <w:tblW w:w="93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2880"/>
        <w:gridCol w:w="1488"/>
        <w:gridCol w:w="2612"/>
        <w:gridCol w:w="2418"/>
      </w:tblGrid>
      <w:tr w14:paraId="7AA1A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06" w:hRule="atLeast"/>
        </w:trPr>
        <w:tc>
          <w:tcPr>
            <w:tcW w:w="2880" w:type="dxa"/>
            <w:vAlign w:val="center"/>
          </w:tcPr>
          <w:p w14:paraId="610F3AB1">
            <w:pPr>
              <w:pStyle w:val="2"/>
              <w:jc w:val="center"/>
              <w:rPr>
                <w:rFonts w:hint="default"/>
                <w:vertAlign w:val="baseline"/>
                <w:lang w:val="en-US" w:eastAsia="zh-CN"/>
              </w:rPr>
            </w:pPr>
            <w:r>
              <w:rPr>
                <w:rFonts w:hint="eastAsia"/>
                <w:vertAlign w:val="baseline"/>
                <w:lang w:val="en-US" w:eastAsia="zh-CN"/>
              </w:rPr>
              <w:t>系统品牌及版本</w:t>
            </w:r>
          </w:p>
        </w:tc>
        <w:tc>
          <w:tcPr>
            <w:tcW w:w="1488" w:type="dxa"/>
            <w:vAlign w:val="center"/>
          </w:tcPr>
          <w:p w14:paraId="1B0EB74F">
            <w:pPr>
              <w:pStyle w:val="2"/>
              <w:jc w:val="center"/>
              <w:rPr>
                <w:rFonts w:hint="default"/>
                <w:vertAlign w:val="baseline"/>
                <w:lang w:val="en-US" w:eastAsia="zh-CN"/>
              </w:rPr>
            </w:pPr>
            <w:r>
              <w:rPr>
                <w:rFonts w:hint="eastAsia"/>
                <w:vertAlign w:val="baseline"/>
                <w:lang w:val="en-US" w:eastAsia="zh-CN"/>
              </w:rPr>
              <w:t>服务期（年）</w:t>
            </w:r>
          </w:p>
        </w:tc>
        <w:tc>
          <w:tcPr>
            <w:tcW w:w="2612" w:type="dxa"/>
            <w:vAlign w:val="center"/>
          </w:tcPr>
          <w:p w14:paraId="05AC4CB9">
            <w:pPr>
              <w:pStyle w:val="2"/>
              <w:jc w:val="center"/>
              <w:rPr>
                <w:rFonts w:hint="default"/>
                <w:vertAlign w:val="baseline"/>
                <w:lang w:val="en-US" w:eastAsia="zh-CN"/>
              </w:rPr>
            </w:pPr>
            <w:r>
              <w:rPr>
                <w:rFonts w:hint="eastAsia"/>
                <w:vertAlign w:val="baseline"/>
                <w:lang w:val="en-US" w:eastAsia="zh-CN"/>
              </w:rPr>
              <w:t>报价（元）</w:t>
            </w:r>
          </w:p>
        </w:tc>
        <w:tc>
          <w:tcPr>
            <w:tcW w:w="2418" w:type="dxa"/>
            <w:vAlign w:val="center"/>
          </w:tcPr>
          <w:p w14:paraId="0041102E">
            <w:pPr>
              <w:pStyle w:val="2"/>
              <w:jc w:val="center"/>
              <w:rPr>
                <w:rFonts w:hint="default"/>
                <w:vertAlign w:val="baseline"/>
                <w:lang w:val="en-US" w:eastAsia="zh-CN"/>
              </w:rPr>
            </w:pPr>
            <w:r>
              <w:rPr>
                <w:rFonts w:hint="eastAsia"/>
                <w:vertAlign w:val="baseline"/>
                <w:lang w:val="en-US" w:eastAsia="zh-CN"/>
              </w:rPr>
              <w:t>备注</w:t>
            </w:r>
          </w:p>
        </w:tc>
      </w:tr>
      <w:tr w14:paraId="509A5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946" w:hRule="atLeast"/>
        </w:trPr>
        <w:tc>
          <w:tcPr>
            <w:tcW w:w="2880" w:type="dxa"/>
            <w:vAlign w:val="center"/>
          </w:tcPr>
          <w:p w14:paraId="213A263A">
            <w:pPr>
              <w:pStyle w:val="2"/>
              <w:jc w:val="center"/>
              <w:rPr>
                <w:rFonts w:hint="default"/>
                <w:vertAlign w:val="baseline"/>
                <w:lang w:val="en-US" w:eastAsia="zh-CN"/>
              </w:rPr>
            </w:pPr>
          </w:p>
        </w:tc>
        <w:tc>
          <w:tcPr>
            <w:tcW w:w="1488" w:type="dxa"/>
            <w:vAlign w:val="center"/>
          </w:tcPr>
          <w:p w14:paraId="282860D9">
            <w:pPr>
              <w:pStyle w:val="2"/>
              <w:jc w:val="center"/>
              <w:rPr>
                <w:rFonts w:hint="default"/>
                <w:vertAlign w:val="baseline"/>
                <w:lang w:val="en-US" w:eastAsia="zh-CN"/>
              </w:rPr>
            </w:pPr>
          </w:p>
        </w:tc>
        <w:tc>
          <w:tcPr>
            <w:tcW w:w="2612" w:type="dxa"/>
            <w:vAlign w:val="center"/>
          </w:tcPr>
          <w:p w14:paraId="7C27D85A">
            <w:pPr>
              <w:pStyle w:val="2"/>
              <w:jc w:val="center"/>
              <w:rPr>
                <w:rFonts w:hint="default"/>
                <w:vertAlign w:val="baseline"/>
                <w:lang w:val="en-US" w:eastAsia="zh-CN"/>
              </w:rPr>
            </w:pPr>
          </w:p>
        </w:tc>
        <w:tc>
          <w:tcPr>
            <w:tcW w:w="2418" w:type="dxa"/>
            <w:vAlign w:val="center"/>
          </w:tcPr>
          <w:p w14:paraId="00E2F877">
            <w:pPr>
              <w:pStyle w:val="2"/>
              <w:jc w:val="center"/>
              <w:rPr>
                <w:rFonts w:hint="default"/>
                <w:vertAlign w:val="baseline"/>
                <w:lang w:val="en-US" w:eastAsia="zh-CN"/>
              </w:rPr>
            </w:pPr>
          </w:p>
        </w:tc>
      </w:tr>
      <w:tr w14:paraId="3A6DD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977" w:hRule="atLeast"/>
        </w:trPr>
        <w:tc>
          <w:tcPr>
            <w:tcW w:w="2880" w:type="dxa"/>
            <w:vAlign w:val="center"/>
          </w:tcPr>
          <w:p w14:paraId="0D209491">
            <w:pPr>
              <w:pStyle w:val="2"/>
              <w:jc w:val="center"/>
              <w:rPr>
                <w:rFonts w:hint="default"/>
                <w:vertAlign w:val="baseline"/>
                <w:lang w:val="en-US" w:eastAsia="zh-CN"/>
              </w:rPr>
            </w:pPr>
          </w:p>
        </w:tc>
        <w:tc>
          <w:tcPr>
            <w:tcW w:w="1488" w:type="dxa"/>
            <w:vAlign w:val="center"/>
          </w:tcPr>
          <w:p w14:paraId="10EE16E1">
            <w:pPr>
              <w:pStyle w:val="2"/>
              <w:jc w:val="center"/>
              <w:rPr>
                <w:rFonts w:hint="default"/>
                <w:vertAlign w:val="baseline"/>
                <w:lang w:val="en-US" w:eastAsia="zh-CN"/>
              </w:rPr>
            </w:pPr>
          </w:p>
        </w:tc>
        <w:tc>
          <w:tcPr>
            <w:tcW w:w="2612" w:type="dxa"/>
            <w:vAlign w:val="center"/>
          </w:tcPr>
          <w:p w14:paraId="696BF064">
            <w:pPr>
              <w:pStyle w:val="2"/>
              <w:jc w:val="center"/>
              <w:rPr>
                <w:rFonts w:hint="default"/>
                <w:vertAlign w:val="baseline"/>
                <w:lang w:val="en-US" w:eastAsia="zh-CN"/>
              </w:rPr>
            </w:pPr>
          </w:p>
        </w:tc>
        <w:tc>
          <w:tcPr>
            <w:tcW w:w="2418" w:type="dxa"/>
            <w:vAlign w:val="center"/>
          </w:tcPr>
          <w:p w14:paraId="0491F60D">
            <w:pPr>
              <w:pStyle w:val="2"/>
              <w:jc w:val="center"/>
              <w:rPr>
                <w:rFonts w:hint="default"/>
                <w:vertAlign w:val="baseline"/>
                <w:lang w:val="en-US" w:eastAsia="zh-CN"/>
              </w:rPr>
            </w:pPr>
          </w:p>
        </w:tc>
      </w:tr>
    </w:tbl>
    <w:p w14:paraId="5D94B71F">
      <w:pPr>
        <w:pStyle w:val="2"/>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IyOGMxOGY0MDNlODE2YzVkNzBjZWY5MjAzYjBiZGUifQ=="/>
  </w:docVars>
  <w:rsids>
    <w:rsidRoot w:val="009F483B"/>
    <w:rsid w:val="000E3658"/>
    <w:rsid w:val="000F2294"/>
    <w:rsid w:val="003334B1"/>
    <w:rsid w:val="00372FA1"/>
    <w:rsid w:val="003C2433"/>
    <w:rsid w:val="003F4EBA"/>
    <w:rsid w:val="004D2E75"/>
    <w:rsid w:val="00572A34"/>
    <w:rsid w:val="00637302"/>
    <w:rsid w:val="00641764"/>
    <w:rsid w:val="006F4635"/>
    <w:rsid w:val="007B5899"/>
    <w:rsid w:val="007F7B4C"/>
    <w:rsid w:val="008D294B"/>
    <w:rsid w:val="0097294E"/>
    <w:rsid w:val="009D42F9"/>
    <w:rsid w:val="009F483B"/>
    <w:rsid w:val="00B13F47"/>
    <w:rsid w:val="00B34A06"/>
    <w:rsid w:val="00C84899"/>
    <w:rsid w:val="00CD2037"/>
    <w:rsid w:val="00D1588F"/>
    <w:rsid w:val="00D67ED8"/>
    <w:rsid w:val="00D86702"/>
    <w:rsid w:val="00E0741B"/>
    <w:rsid w:val="00EB074E"/>
    <w:rsid w:val="00F22A52"/>
    <w:rsid w:val="00F3674B"/>
    <w:rsid w:val="00FA25C9"/>
    <w:rsid w:val="06E30FE0"/>
    <w:rsid w:val="12EC7547"/>
    <w:rsid w:val="1B5D9D7E"/>
    <w:rsid w:val="311650EE"/>
    <w:rsid w:val="36F10BFF"/>
    <w:rsid w:val="4E0B4C12"/>
    <w:rsid w:val="50096F88"/>
    <w:rsid w:val="559C62E6"/>
    <w:rsid w:val="6DFFC293"/>
    <w:rsid w:val="744347E5"/>
    <w:rsid w:val="78D45E53"/>
    <w:rsid w:val="7BE50F04"/>
    <w:rsid w:val="7E5A6A7D"/>
    <w:rsid w:val="FBBD0D76"/>
    <w:rsid w:val="FFFFBB1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tabs>
        <w:tab w:val="center" w:pos="4153"/>
        <w:tab w:val="right" w:pos="8306"/>
      </w:tabs>
      <w:snapToGrid w:val="0"/>
      <w:jc w:val="center"/>
    </w:pPr>
    <w:rPr>
      <w:sz w:val="18"/>
      <w:szCs w:val="18"/>
    </w:rPr>
  </w:style>
  <w:style w:type="paragraph" w:styleId="5">
    <w:name w:val="Normal (Web)"/>
    <w:basedOn w:val="1"/>
    <w:unhideWhenUsed/>
    <w:qFormat/>
    <w:uiPriority w:val="0"/>
    <w:pPr>
      <w:spacing w:beforeAutospacing="1" w:afterAutospacing="1"/>
      <w:jc w:val="left"/>
    </w:pPr>
    <w:rPr>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firstLineChars="200"/>
    </w:pPr>
  </w:style>
  <w:style w:type="character" w:customStyle="1" w:styleId="10">
    <w:name w:val="页眉 字符"/>
    <w:basedOn w:val="8"/>
    <w:link w:val="4"/>
    <w:qFormat/>
    <w:uiPriority w:val="99"/>
    <w:rPr>
      <w:sz w:val="18"/>
      <w:szCs w:val="18"/>
    </w:rPr>
  </w:style>
  <w:style w:type="character" w:customStyle="1" w:styleId="11">
    <w:name w:val="页脚 字符"/>
    <w:basedOn w:val="8"/>
    <w:link w:val="3"/>
    <w:qFormat/>
    <w:uiPriority w:val="99"/>
    <w:rPr>
      <w:sz w:val="18"/>
      <w:szCs w:val="18"/>
    </w:rPr>
  </w:style>
  <w:style w:type="paragraph" w:customStyle="1" w:styleId="12">
    <w:name w:val="Default"/>
    <w:qFormat/>
    <w:uiPriority w:val="0"/>
    <w:pPr>
      <w:widowControl w:val="0"/>
    </w:pPr>
    <w:rPr>
      <w:rFonts w:ascii="宋体" w:eastAsia="宋体" w:cs="宋体" w:hAnsiTheme="minorHAnsi"/>
      <w:color w:val="000000"/>
      <w:kern w:val="0"/>
      <w:sz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5454</Words>
  <Characters>5689</Characters>
  <Lines>87</Lines>
  <Paragraphs>24</Paragraphs>
  <TotalTime>6</TotalTime>
  <ScaleCrop>false</ScaleCrop>
  <LinksUpToDate>false</LinksUpToDate>
  <CharactersWithSpaces>5700</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2024-07-17T01:22:00Z</dcterms:created>
  <dc:creator>小月 陈</dc:creator>
  <cp:lastModifiedBy>未命名</cp:lastModifiedBy>
  <dcterms:modified xsi:type="dcterms:W3CDTF">2024-12-31T00:47:43Z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2052-12.8.2.17838</vt:lpwstr>
  </property>
  <property fmtid="{D5CDD505-2E9C-101B-9397-08002B2CF9AE}" pid="3" name="ICV">
    <vt:lpwstr>F9D5402E9AFA457FB5198A54603B8557_12</vt:lpwstr>
  </property>
</Properties>
</file>