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026C">
      <w:pPr>
        <w:adjustRightInd w:val="0"/>
        <w:snapToGrid w:val="0"/>
        <w:ind w:firstLine="638" w:firstLineChars="228"/>
        <w:rPr>
          <w:rFonts w:hint="eastAsia" w:ascii="仿宋" w:hAnsi="仿宋" w:eastAsia="仿宋"/>
          <w:snapToGrid w:val="0"/>
          <w:sz w:val="28"/>
          <w:szCs w:val="28"/>
        </w:rPr>
      </w:pPr>
      <w:bookmarkStart w:id="0" w:name="_GoBack"/>
      <w:bookmarkEnd w:id="0"/>
    </w:p>
    <w:p w14:paraId="0BBA1BA4">
      <w:pPr>
        <w:adjustRightInd w:val="0"/>
        <w:snapToGrid w:val="0"/>
        <w:ind w:firstLine="638" w:firstLineChars="228"/>
        <w:rPr>
          <w:rFonts w:hint="eastAsia" w:ascii="仿宋" w:hAnsi="仿宋" w:eastAsia="仿宋"/>
          <w:snapToGrid w:val="0"/>
          <w:sz w:val="28"/>
          <w:szCs w:val="28"/>
        </w:rPr>
      </w:pPr>
      <w:r>
        <w:rPr>
          <w:rFonts w:hint="eastAsia" w:ascii="仿宋" w:hAnsi="仿宋" w:eastAsia="仿宋"/>
          <w:snapToGrid w:val="0"/>
          <w:sz w:val="28"/>
          <w:szCs w:val="28"/>
        </w:rPr>
        <w:t>附件：</w:t>
      </w:r>
    </w:p>
    <w:tbl>
      <w:tblPr>
        <w:tblStyle w:val="5"/>
        <w:tblpPr w:leftFromText="181" w:rightFromText="181" w:vertAnchor="text" w:horzAnchor="page" w:tblpX="1934"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5088"/>
        <w:gridCol w:w="1630"/>
      </w:tblGrid>
      <w:tr w14:paraId="71B8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1" w:type="dxa"/>
            <w:vAlign w:val="center"/>
          </w:tcPr>
          <w:p w14:paraId="11F9AAA4">
            <w:pPr>
              <w:jc w:val="center"/>
              <w:rPr>
                <w:rFonts w:ascii="Times New Roman" w:hAnsi="Times New Roman" w:eastAsia="宋体" w:cs="Times New Roman"/>
                <w:b/>
                <w:bCs/>
                <w:sz w:val="18"/>
                <w:szCs w:val="21"/>
              </w:rPr>
            </w:pPr>
            <w:r>
              <w:rPr>
                <w:rFonts w:hint="eastAsia" w:ascii="Times New Roman" w:hAnsi="Times New Roman" w:eastAsia="宋体" w:cs="Times New Roman"/>
                <w:b/>
                <w:bCs/>
                <w:sz w:val="18"/>
                <w:szCs w:val="21"/>
              </w:rPr>
              <w:t>产品名称</w:t>
            </w:r>
          </w:p>
        </w:tc>
        <w:tc>
          <w:tcPr>
            <w:tcW w:w="5088" w:type="dxa"/>
            <w:vAlign w:val="center"/>
          </w:tcPr>
          <w:p w14:paraId="32140CE0">
            <w:pPr>
              <w:jc w:val="center"/>
              <w:rPr>
                <w:rFonts w:ascii="Times New Roman" w:hAnsi="Times New Roman" w:eastAsia="宋体" w:cs="Times New Roman"/>
                <w:b/>
                <w:bCs/>
                <w:sz w:val="18"/>
                <w:szCs w:val="21"/>
              </w:rPr>
            </w:pPr>
            <w:r>
              <w:rPr>
                <w:rFonts w:hint="eastAsia" w:ascii="Times New Roman" w:hAnsi="Times New Roman" w:eastAsia="宋体" w:cs="Times New Roman"/>
                <w:b/>
                <w:bCs/>
                <w:sz w:val="18"/>
                <w:szCs w:val="21"/>
              </w:rPr>
              <w:t>采购内容</w:t>
            </w:r>
          </w:p>
        </w:tc>
        <w:tc>
          <w:tcPr>
            <w:tcW w:w="1630" w:type="dxa"/>
            <w:vAlign w:val="center"/>
          </w:tcPr>
          <w:p w14:paraId="463EC929">
            <w:pPr>
              <w:jc w:val="center"/>
              <w:rPr>
                <w:rFonts w:ascii="Times New Roman" w:hAnsi="Times New Roman" w:eastAsia="宋体" w:cs="Times New Roman"/>
                <w:b/>
                <w:bCs/>
                <w:sz w:val="18"/>
                <w:szCs w:val="21"/>
              </w:rPr>
            </w:pPr>
            <w:r>
              <w:rPr>
                <w:rFonts w:hint="eastAsia" w:ascii="Times New Roman" w:hAnsi="Times New Roman" w:eastAsia="宋体" w:cs="Times New Roman"/>
                <w:b/>
                <w:bCs/>
                <w:sz w:val="18"/>
                <w:szCs w:val="21"/>
              </w:rPr>
              <w:t>拟采服务年限</w:t>
            </w:r>
          </w:p>
        </w:tc>
      </w:tr>
      <w:tr w14:paraId="60CC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41" w:type="dxa"/>
            <w:vAlign w:val="center"/>
          </w:tcPr>
          <w:p w14:paraId="3E625337">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深信服SIP-1000-E600维保</w:t>
            </w:r>
          </w:p>
        </w:tc>
        <w:tc>
          <w:tcPr>
            <w:tcW w:w="5088" w:type="dxa"/>
            <w:vAlign w:val="center"/>
          </w:tcPr>
          <w:p w14:paraId="5D1F3D05">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软件升级</w:t>
            </w:r>
          </w:p>
          <w:p w14:paraId="1274D311">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特征库升级</w:t>
            </w:r>
          </w:p>
        </w:tc>
        <w:tc>
          <w:tcPr>
            <w:tcW w:w="1630" w:type="dxa"/>
            <w:vAlign w:val="center"/>
          </w:tcPr>
          <w:p w14:paraId="26D1FC62">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r w14:paraId="57FE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1" w:type="dxa"/>
            <w:vAlign w:val="center"/>
          </w:tcPr>
          <w:p w14:paraId="0D48E54A">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深信服STA-100-B1500维保</w:t>
            </w:r>
          </w:p>
        </w:tc>
        <w:tc>
          <w:tcPr>
            <w:tcW w:w="5088" w:type="dxa"/>
            <w:vAlign w:val="center"/>
          </w:tcPr>
          <w:p w14:paraId="40910FAA">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软件升级</w:t>
            </w:r>
          </w:p>
          <w:p w14:paraId="1812C70D">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特征库升级</w:t>
            </w:r>
          </w:p>
        </w:tc>
        <w:tc>
          <w:tcPr>
            <w:tcW w:w="1630" w:type="dxa"/>
            <w:vAlign w:val="center"/>
          </w:tcPr>
          <w:p w14:paraId="236AEC7B">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2台*3年</w:t>
            </w:r>
          </w:p>
        </w:tc>
      </w:tr>
      <w:tr w14:paraId="2EA1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41" w:type="dxa"/>
            <w:vAlign w:val="center"/>
          </w:tcPr>
          <w:p w14:paraId="699785CE">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深信服WAF-1000-B1400维保</w:t>
            </w:r>
          </w:p>
        </w:tc>
        <w:tc>
          <w:tcPr>
            <w:tcW w:w="5088" w:type="dxa"/>
            <w:vAlign w:val="center"/>
          </w:tcPr>
          <w:p w14:paraId="74F50CD2">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软件升级</w:t>
            </w:r>
          </w:p>
          <w:p w14:paraId="77F9BE16">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安全特征库和URL库升级</w:t>
            </w:r>
          </w:p>
        </w:tc>
        <w:tc>
          <w:tcPr>
            <w:tcW w:w="1630" w:type="dxa"/>
            <w:vAlign w:val="center"/>
          </w:tcPr>
          <w:p w14:paraId="42FE3E1D">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r w14:paraId="5418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541" w:type="dxa"/>
            <w:vAlign w:val="center"/>
          </w:tcPr>
          <w:p w14:paraId="0DCC054F">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深信服AF-2000-B2150维保</w:t>
            </w:r>
          </w:p>
        </w:tc>
        <w:tc>
          <w:tcPr>
            <w:tcW w:w="5088" w:type="dxa"/>
            <w:vAlign w:val="center"/>
          </w:tcPr>
          <w:p w14:paraId="66F45A20">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软件升级</w:t>
            </w:r>
          </w:p>
          <w:p w14:paraId="11C67C07">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云蜜罐订阅软件</w:t>
            </w:r>
          </w:p>
          <w:p w14:paraId="473260D4">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安全特征库和URL库升级</w:t>
            </w:r>
          </w:p>
        </w:tc>
        <w:tc>
          <w:tcPr>
            <w:tcW w:w="1630" w:type="dxa"/>
            <w:vAlign w:val="center"/>
          </w:tcPr>
          <w:p w14:paraId="72B991BC">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r w14:paraId="6B5B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541" w:type="dxa"/>
            <w:vAlign w:val="center"/>
          </w:tcPr>
          <w:p w14:paraId="55D6126B">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 xml:space="preserve">officescan亚信安全防毒墙网络版 </w:t>
            </w:r>
          </w:p>
        </w:tc>
        <w:tc>
          <w:tcPr>
            <w:tcW w:w="5088" w:type="dxa"/>
            <w:vAlign w:val="center"/>
          </w:tcPr>
          <w:p w14:paraId="108D80B8">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包含服务器和600个终端的软件升级、病毒库更新</w:t>
            </w:r>
          </w:p>
        </w:tc>
        <w:tc>
          <w:tcPr>
            <w:tcW w:w="1630" w:type="dxa"/>
            <w:vAlign w:val="center"/>
          </w:tcPr>
          <w:p w14:paraId="1F8FD143">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r w14:paraId="796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541" w:type="dxa"/>
            <w:vAlign w:val="center"/>
          </w:tcPr>
          <w:p w14:paraId="3878314B">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安全托管服务</w:t>
            </w:r>
          </w:p>
        </w:tc>
        <w:tc>
          <w:tcPr>
            <w:tcW w:w="5088" w:type="dxa"/>
            <w:vAlign w:val="center"/>
          </w:tcPr>
          <w:p w14:paraId="7607E8E1">
            <w:pPr>
              <w:jc w:val="left"/>
              <w:rPr>
                <w:rFonts w:ascii="Times New Roman" w:hAnsi="Times New Roman" w:eastAsia="宋体" w:cs="Times New Roman"/>
                <w:b/>
                <w:bCs/>
                <w:sz w:val="18"/>
                <w:szCs w:val="21"/>
              </w:rPr>
            </w:pPr>
            <w:r>
              <w:rPr>
                <w:rFonts w:hint="eastAsia" w:ascii="Times New Roman" w:hAnsi="Times New Roman" w:eastAsia="宋体" w:cs="Times New Roman"/>
                <w:b/>
                <w:bCs/>
                <w:sz w:val="18"/>
                <w:szCs w:val="21"/>
              </w:rPr>
              <w:t>服务概述：</w:t>
            </w:r>
          </w:p>
          <w:p w14:paraId="287DE964">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20资产的安全托管服务，围绕资产、漏洞、威胁、事件四个风险要素，通过云端安全运营平台和安全专家团队有效协同的“人机共智”模式，对安全设备监测范围内的安全威胁和事件提供全年7*24H的监测分析与响应，针对托管资产主动提供勒索预防与安全事件的处置闭环。</w:t>
            </w:r>
          </w:p>
          <w:p w14:paraId="016F594E">
            <w:pPr>
              <w:jc w:val="left"/>
              <w:rPr>
                <w:rFonts w:ascii="Times New Roman" w:hAnsi="Times New Roman" w:eastAsia="宋体" w:cs="Times New Roman"/>
                <w:b/>
                <w:bCs/>
                <w:sz w:val="18"/>
                <w:szCs w:val="21"/>
              </w:rPr>
            </w:pPr>
          </w:p>
          <w:p w14:paraId="27C1ACC0">
            <w:pPr>
              <w:jc w:val="left"/>
              <w:rPr>
                <w:rFonts w:ascii="Times New Roman" w:hAnsi="Times New Roman" w:eastAsia="宋体" w:cs="Times New Roman"/>
                <w:sz w:val="18"/>
                <w:szCs w:val="21"/>
              </w:rPr>
            </w:pPr>
            <w:r>
              <w:rPr>
                <w:rFonts w:hint="eastAsia" w:ascii="Times New Roman" w:hAnsi="Times New Roman" w:eastAsia="宋体" w:cs="Times New Roman"/>
                <w:b/>
                <w:bCs/>
                <w:sz w:val="18"/>
                <w:szCs w:val="21"/>
              </w:rPr>
              <w:t>服务要求：</w:t>
            </w:r>
          </w:p>
          <w:p w14:paraId="4C0D0A0E">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1、云端服务平台应当支持对我院网络中已部署的主要安全设备，下一代防火墙、安全态势感知等，支持实时接收安全设备检测到的安全事件信息、安全日志数据提供7*24小时的安全托管服务</w:t>
            </w:r>
          </w:p>
          <w:p w14:paraId="2B47AB4B">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2、服务方云端服务平台应当做好严格的安全防护，并严格按照《信息安全技术—网络安全等级保护基本要求》完成等级保护测评工作，服务平台至少通过等级保护三级测评</w:t>
            </w:r>
          </w:p>
          <w:p w14:paraId="77832320">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3、要求服务方可以对服务范围内发现的每一个高危可利用漏洞提供防护规则，并且承诺防护率达到99%。</w:t>
            </w:r>
          </w:p>
          <w:p w14:paraId="7CE77C61">
            <w:pPr>
              <w:jc w:val="left"/>
              <w:rPr>
                <w:rFonts w:ascii="Times New Roman" w:hAnsi="Times New Roman" w:eastAsia="宋体" w:cs="Times New Roman"/>
                <w:sz w:val="18"/>
                <w:szCs w:val="21"/>
              </w:rPr>
            </w:pPr>
          </w:p>
          <w:p w14:paraId="579B9BE2">
            <w:pPr>
              <w:jc w:val="left"/>
              <w:rPr>
                <w:rFonts w:ascii="Times New Roman" w:hAnsi="Times New Roman" w:eastAsia="宋体" w:cs="Times New Roman"/>
                <w:b/>
                <w:bCs/>
                <w:sz w:val="18"/>
                <w:szCs w:val="21"/>
              </w:rPr>
            </w:pPr>
            <w:r>
              <w:rPr>
                <w:rFonts w:hint="eastAsia" w:ascii="Times New Roman" w:hAnsi="Times New Roman" w:eastAsia="宋体" w:cs="Times New Roman"/>
                <w:b/>
                <w:bCs/>
                <w:sz w:val="18"/>
                <w:szCs w:val="21"/>
              </w:rPr>
              <w:t>具体服务内容：</w:t>
            </w:r>
          </w:p>
          <w:p w14:paraId="07B816AE">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1、运营准备阶段</w:t>
            </w:r>
          </w:p>
          <w:p w14:paraId="3C4AC211">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1.1服务上线和资产录入：将需要接入安全运营平台的组件进行部署并接入，并进行资产发现及指纹探测，自动获取全量资产信息同步安全运营平台中进行管理。</w:t>
            </w:r>
          </w:p>
          <w:p w14:paraId="1B03CA23">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1.2首次安全评估与处置</w:t>
            </w:r>
          </w:p>
          <w:p w14:paraId="7B6E70E3">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首次安全评估：针对托管资产进行漏洞评估和弱口令识别，并对授权安全组件流量进行外部攻击行为和事件分析，给出处置建议。</w:t>
            </w:r>
          </w:p>
          <w:p w14:paraId="56ED9BF1">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互联网暴露面梳理：针对托管服务资产开展暴露面探测，快速发现违规暴露在互联网中的资产及存在的风险并进行协助处置</w:t>
            </w:r>
          </w:p>
          <w:p w14:paraId="7484408B">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设备巡检和调优：对组件的安全策略进行检查，及时发现隐患项，协助进行异常风险安全策略项整改</w:t>
            </w:r>
          </w:p>
          <w:p w14:paraId="10AD0617">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安全风险处置：根据首次安全评估的结果协助用户对安全策略进行调优、指导用户对托管资产的脆弱性进行加固</w:t>
            </w:r>
          </w:p>
          <w:p w14:paraId="58CF61EB">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2、持续有效运营</w:t>
            </w:r>
          </w:p>
          <w:p w14:paraId="26EC4BBD">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2.1勒索风险排查与问题跟进：针对托管服务资产，基于勒索风险全面排查勒索风险隐患，持续指导和跟进客户的加固。</w:t>
            </w:r>
          </w:p>
          <w:p w14:paraId="5222638E">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2.2威胁监测管理</w:t>
            </w:r>
          </w:p>
          <w:p w14:paraId="0C522CE2">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威胁分析研判：针对授权安全组件的流量，提供7*24小时的威胁监测、告警分析研判，并生成工单(安全事件）。为了保证安全监测的准确率和服务质量，投标方应当支持为我院自定义配置安全规则，以满足日益复杂的安全趋势所带来的安全监测需求</w:t>
            </w:r>
          </w:p>
          <w:p w14:paraId="47909BF7">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威胁通告：将云端分析确认后的真实威胁、事件实时通过微信、邮件等方式向用户通告，并提供处置建议。</w:t>
            </w:r>
          </w:p>
          <w:p w14:paraId="11BC1F9C">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威胁遏制：对于分析确认过的真实威胁，进行简单的遏制操作（如封堵攻击源），提供对应的处置建议，并指导用户闭环。</w:t>
            </w:r>
          </w:p>
          <w:p w14:paraId="79156515">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威胁情报半月刊：定期整理热点安全事件、网络安全政策法律动态咨询、新增安全漏洞形成半月刊，通告给客户。</w:t>
            </w:r>
          </w:p>
          <w:p w14:paraId="44D3C66C">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2.3安全事件管理</w:t>
            </w:r>
          </w:p>
          <w:p w14:paraId="0B6FF760">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安全事件调查与分析：7*24H在线，针对托管服务资产发生的安全事件开展调查分析和影响面分析，进行人工鉴定和举证分析。</w:t>
            </w:r>
          </w:p>
          <w:p w14:paraId="6171E50E">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安全事件处置与闭环：对客户托管服务资产爆发的安全事件进行及时响应，快速恢复业务、消除或减轻影响，闭环事件工单。</w:t>
            </w:r>
          </w:p>
          <w:p w14:paraId="696D395A">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重大事件应急响应：为客户托管服务资产遭受的重大安全事件提供快速应急响应支持，包括事件抑制、清除、分析、加固指导。</w:t>
            </w:r>
          </w:p>
          <w:p w14:paraId="1E3E27C9">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3、7*24小时服务团队</w:t>
            </w:r>
          </w:p>
          <w:p w14:paraId="518907AF">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专属服务经理：为用户配置一名经验丰富的安全专家作为专属服务经理。</w:t>
            </w:r>
          </w:p>
          <w:p w14:paraId="10F8B139">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专属服务工作群：为用户建立一个7*24H专属服务工作群（微信群），提供实时威胁与事件通知，以及日常的专家咨询。</w:t>
            </w:r>
          </w:p>
          <w:p w14:paraId="2FB399B8">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实时专家咨询：安全专家对用户咨询或上报的安全问题进行及时响应并给出建议。</w:t>
            </w:r>
          </w:p>
          <w:p w14:paraId="181D02A9">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法定节假日和夜间非工作时间值守：7*24小时安全监测与响应，每日发送值守总结快报。</w:t>
            </w:r>
          </w:p>
          <w:p w14:paraId="2BFBC691">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4、运营成果可视</w:t>
            </w:r>
          </w:p>
          <w:p w14:paraId="74FD72DA">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安全运营周报、月报和季报：安全专家每周、月和季度进行阶段性安全运营情况的分析总结并输出相应报告。</w:t>
            </w:r>
          </w:p>
          <w:p w14:paraId="3A2C0EA8">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首季度汇报、年度汇报：在正式运营一季度后和服务结束后组织在线会议向用户详细汇报安全运营成果和后续持续运营的计划和目标。</w:t>
            </w:r>
          </w:p>
          <w:p w14:paraId="3E994DAC">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PC和移动端portal：支持实时查看最新安全状态、每日运营动态、工单进展、当前待办项和运营成果，支持在线查阅和监督服务SLA。</w:t>
            </w:r>
          </w:p>
        </w:tc>
        <w:tc>
          <w:tcPr>
            <w:tcW w:w="1630" w:type="dxa"/>
            <w:vAlign w:val="center"/>
          </w:tcPr>
          <w:p w14:paraId="1A458E3D">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r w14:paraId="2C2F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541" w:type="dxa"/>
            <w:vAlign w:val="center"/>
          </w:tcPr>
          <w:p w14:paraId="78E9A0C2">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运维技术支撑服务</w:t>
            </w:r>
          </w:p>
        </w:tc>
        <w:tc>
          <w:tcPr>
            <w:tcW w:w="5088" w:type="dxa"/>
            <w:vAlign w:val="center"/>
          </w:tcPr>
          <w:p w14:paraId="35C91CA7">
            <w:pPr>
              <w:jc w:val="left"/>
              <w:rPr>
                <w:rFonts w:ascii="Times New Roman" w:hAnsi="Times New Roman" w:eastAsia="宋体" w:cs="Times New Roman"/>
                <w:sz w:val="18"/>
                <w:szCs w:val="21"/>
              </w:rPr>
            </w:pPr>
            <w:r>
              <w:rPr>
                <w:rFonts w:hint="eastAsia" w:ascii="Times New Roman" w:hAnsi="Times New Roman" w:eastAsia="宋体" w:cs="Times New Roman"/>
                <w:sz w:val="18"/>
                <w:szCs w:val="21"/>
              </w:rPr>
              <w:t>针对锐捷/H3C/华为/迈普等主干网络设备、服务器、存储设备、数据库、操作系统、网络安全产品等巡检和技术支撑服务，包含技术答疑、故障排查，网络优化和架构调整，网络安全应急演练，网络安全培训2次/年，以上设备及网络巡检1次/季度，并出具巡检报告，包含优化建议或问题解决方案。</w:t>
            </w:r>
          </w:p>
        </w:tc>
        <w:tc>
          <w:tcPr>
            <w:tcW w:w="1630" w:type="dxa"/>
            <w:vAlign w:val="center"/>
          </w:tcPr>
          <w:p w14:paraId="7F5CF4FA">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3年</w:t>
            </w:r>
          </w:p>
        </w:tc>
      </w:tr>
    </w:tbl>
    <w:p w14:paraId="62668498">
      <w:pPr>
        <w:ind w:firstLine="638" w:firstLineChars="228"/>
        <w:rPr>
          <w:rFonts w:hint="eastAsia" w:ascii="仿宋" w:hAnsi="仿宋" w:eastAsia="仿宋"/>
          <w:snapToGrid w:val="0"/>
          <w:sz w:val="28"/>
          <w:szCs w:val="28"/>
        </w:rPr>
      </w:pPr>
    </w:p>
    <w:sectPr>
      <w:pgSz w:w="11906" w:h="16838"/>
      <w:pgMar w:top="1440" w:right="1274"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FC"/>
    <w:rsid w:val="00071D4A"/>
    <w:rsid w:val="0028482C"/>
    <w:rsid w:val="002C5D68"/>
    <w:rsid w:val="002D5AB4"/>
    <w:rsid w:val="0035152C"/>
    <w:rsid w:val="004E71C4"/>
    <w:rsid w:val="005C3C19"/>
    <w:rsid w:val="005D7A92"/>
    <w:rsid w:val="00631956"/>
    <w:rsid w:val="008E3534"/>
    <w:rsid w:val="009E051B"/>
    <w:rsid w:val="00A946DD"/>
    <w:rsid w:val="00AB2321"/>
    <w:rsid w:val="00AC2A12"/>
    <w:rsid w:val="00B32B8B"/>
    <w:rsid w:val="00B4384E"/>
    <w:rsid w:val="00B476FC"/>
    <w:rsid w:val="00C01831"/>
    <w:rsid w:val="00C12554"/>
    <w:rsid w:val="00D9313C"/>
    <w:rsid w:val="00E15AFC"/>
    <w:rsid w:val="00E84DFF"/>
    <w:rsid w:val="00F37515"/>
    <w:rsid w:val="09F57954"/>
    <w:rsid w:val="6EF0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357</Words>
  <Characters>2035</Characters>
  <Lines>16</Lines>
  <Paragraphs>4</Paragraphs>
  <TotalTime>7</TotalTime>
  <ScaleCrop>false</ScaleCrop>
  <LinksUpToDate>false</LinksUpToDate>
  <CharactersWithSpaces>2388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2025-04-12T04:45:00Z</dcterms:created>
  <dc:creator>Administrator</dc:creator>
  <cp:lastModifiedBy>未命名</cp:lastModifiedBy>
  <dcterms:modified xsi:type="dcterms:W3CDTF">2025-05-15T12:58:53Z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KSOTemplateDocerSaveRecord">
    <vt:lpwstr>eyJoZGlkIjoiMDY5YTMxMzgzZWM1MjY3NDJiZWI3ZTcwMjdkNTUyZTkiLCJ1c2VySWQiOiIxNDU0MjAwNzc3In0=</vt:lpwstr>
  </property>
  <property fmtid="{D5CDD505-2E9C-101B-9397-08002B2CF9AE}" pid="4" name="ICV">
    <vt:lpwstr>E15B0C9D49F14A18914C872B10CFF5AA_13</vt:lpwstr>
  </property>
</Properties>
</file>