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1B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贵州医科大学第三附属医院</w:t>
      </w:r>
    </w:p>
    <w:p w14:paraId="33D0B7E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防火墙</w:t>
      </w:r>
      <w:r>
        <w:rPr>
          <w:rFonts w:hint="eastAsia"/>
          <w:lang w:val="en-US" w:eastAsia="zh-CN"/>
        </w:rPr>
        <w:t>设备项目参数要求</w:t>
      </w:r>
    </w:p>
    <w:p w14:paraId="5C57848F">
      <w:pPr>
        <w:rPr>
          <w:rFonts w:hint="default"/>
          <w:lang w:val="en-US" w:eastAsia="zh-CN"/>
        </w:rPr>
      </w:pPr>
    </w:p>
    <w:p w14:paraId="4CC292C4">
      <w:pPr>
        <w:rPr>
          <w:rFonts w:hint="eastAsia"/>
        </w:rPr>
      </w:pPr>
      <w:r>
        <w:rPr>
          <w:rFonts w:hint="eastAsia"/>
        </w:rPr>
        <w:t>1、产品网络层吞吐量≥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Gbps，IPS吞吐量≥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Gbps，全威胁吞吐量≥</w:t>
      </w:r>
      <w:r>
        <w:rPr>
          <w:rFonts w:hint="eastAsia"/>
          <w:lang w:val="en-US" w:eastAsia="zh-CN"/>
        </w:rPr>
        <w:t>2G</w:t>
      </w:r>
      <w:r>
        <w:rPr>
          <w:rFonts w:hint="eastAsia"/>
        </w:rPr>
        <w:t>bps，并发连接数≥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00万，HTTP新建连接数≥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万</w:t>
      </w:r>
      <w:r>
        <w:rPr>
          <w:rFonts w:hint="eastAsia"/>
          <w:lang w:eastAsia="zh-CN"/>
        </w:rPr>
        <w:t>，含三年维保，</w:t>
      </w:r>
      <w:r>
        <w:rPr>
          <w:rFonts w:hint="eastAsia"/>
        </w:rPr>
        <w:t>需提供所投产品厂家出具的投标授权和售后服务承诺函；</w:t>
      </w:r>
    </w:p>
    <w:p w14:paraId="5DC3F0CE">
      <w:pPr>
        <w:rPr>
          <w:rFonts w:hint="eastAsia"/>
        </w:rPr>
      </w:pPr>
      <w:r>
        <w:rPr>
          <w:rFonts w:hint="eastAsia"/>
        </w:rPr>
        <w:t>2、产品配置千兆电口≥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个，万兆光口≥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个，配置光模块及光纤线，配置</w:t>
      </w:r>
      <w:r>
        <w:rPr>
          <w:rFonts w:hint="eastAsia"/>
          <w:lang w:eastAsia="zh-CN"/>
        </w:rPr>
        <w:t>冗余</w:t>
      </w:r>
      <w:r>
        <w:rPr>
          <w:rFonts w:hint="eastAsia"/>
        </w:rPr>
        <w:t>电源；配置三年的WEB应用防护识别库、IPS特征库、僵尸网络防护库、实时漏洞分析识别库和URL&amp;应用识别库升级授权；</w:t>
      </w:r>
    </w:p>
    <w:p w14:paraId="4307F079">
      <w:pPr>
        <w:rPr>
          <w:rFonts w:hint="eastAsia"/>
        </w:rPr>
      </w:pPr>
      <w:r>
        <w:rPr>
          <w:rFonts w:hint="eastAsia"/>
        </w:rPr>
        <w:t>3、产品支持路由模式、透明模式、虚拟网线模式、旁路镜像模式等多种部署方式；支持链路连通性检查功能，支持基于3种以上协议对链路连通性进行探测，探测协议至少包括DNS解析、ARP探测、PING和BFD等方式；</w:t>
      </w:r>
    </w:p>
    <w:p w14:paraId="0179DD03">
      <w:pPr>
        <w:rPr>
          <w:rFonts w:hint="eastAsia"/>
        </w:rPr>
      </w:pPr>
      <w:r>
        <w:rPr>
          <w:rFonts w:hint="eastAsia"/>
        </w:rPr>
        <w:t>4、产品内置超过4580种WEB应用攻击特征，支持对跨站脚本（XSS）攻击、SQL注入、文件包含攻击、信息泄露攻击、WEBSHELL、网站扫描、网页木马等攻击类型进行防护；</w:t>
      </w:r>
    </w:p>
    <w:p w14:paraId="1C0AC026">
      <w:pPr>
        <w:rPr>
          <w:rFonts w:hint="eastAsia"/>
        </w:rPr>
      </w:pPr>
      <w:r>
        <w:rPr>
          <w:rFonts w:hint="eastAsia"/>
        </w:rPr>
        <w:t>5、产品支持多对一、一对多和一对一等多种地址转换方式；支持NAT44 、NAT64、NAT66地址转换方式；支持NAT穿透技术ALG，支持FTP、TFTP、SQLNET、PPTP、RTSP、SIP、H.323等协议；</w:t>
      </w:r>
    </w:p>
    <w:p w14:paraId="08B8F8CB">
      <w:pPr>
        <w:rPr>
          <w:rFonts w:hint="eastAsia"/>
        </w:rPr>
      </w:pPr>
      <w:r>
        <w:rPr>
          <w:rFonts w:hint="eastAsia"/>
        </w:rPr>
        <w:t>6、为满足组网兼容性，IPSec VPN需支持IKEv1和IKEv2协议，支持基于主模式和野蛮模式建立加密隧道，默认支持国密算法SM2-SM4；</w:t>
      </w:r>
    </w:p>
    <w:p w14:paraId="61CC803A">
      <w:pPr>
        <w:rPr>
          <w:rFonts w:hint="eastAsia"/>
        </w:rPr>
      </w:pPr>
      <w:r>
        <w:rPr>
          <w:rFonts w:hint="eastAsia"/>
        </w:rPr>
        <w:t xml:space="preserve">7、产品支持对不少于9000种应用的识别和控制，应用类型包括游戏、购物、图书百科、工作招聘、P2P下载、聊天工具、旅游出行、股票软件等类型应用进行检测与控制； </w:t>
      </w:r>
    </w:p>
    <w:p w14:paraId="462F4A13">
      <w:pPr>
        <w:rPr>
          <w:rFonts w:hint="eastAsia"/>
        </w:rPr>
      </w:pPr>
      <w:r>
        <w:rPr>
          <w:rFonts w:hint="eastAsia"/>
        </w:rPr>
        <w:t>8、产品支持僵尸主机检测功能，产品内置僵尸网络特征库超过128万种，可识别主机的异常外联行为；</w:t>
      </w:r>
    </w:p>
    <w:p w14:paraId="6056236B">
      <w:pPr>
        <w:rPr>
          <w:rFonts w:hint="eastAsia"/>
        </w:rPr>
      </w:pPr>
      <w:r>
        <w:rPr>
          <w:rFonts w:hint="eastAsia"/>
        </w:rPr>
        <w:t>9、产品应具备独立的勒索病毒防护模块，非普通防病毒功能，支持对特定的业务进行勒索风险自动化评估，并依据评估结果自动生成防护策略；</w:t>
      </w:r>
    </w:p>
    <w:p w14:paraId="3B7907E9">
      <w:pPr>
        <w:rPr>
          <w:rFonts w:hint="eastAsia"/>
        </w:rPr>
      </w:pPr>
      <w:r>
        <w:rPr>
          <w:rFonts w:hint="eastAsia"/>
        </w:rPr>
        <w:t>10、产品支持云威胁情报网关技术，通过全球超过30+pop节点，实现对威胁流量就近进行实时检测&amp;拦截，实现失陷外联实时阻断，保护资产安全（提供产品功能截图并提供POP节点在线查询链接截图，和具备CMA/CNAS标识的第三方检测报告</w:t>
      </w:r>
      <w:r>
        <w:rPr>
          <w:rFonts w:hint="eastAsia"/>
          <w:lang w:eastAsia="zh-CN"/>
        </w:rPr>
        <w:t>，至少提供首页尾页和功能页</w:t>
      </w:r>
      <w:r>
        <w:rPr>
          <w:rFonts w:hint="eastAsia"/>
        </w:rPr>
        <w:t xml:space="preserve">，并加盖厂商公章）； </w:t>
      </w:r>
    </w:p>
    <w:p w14:paraId="3D49C9D8">
      <w:pPr>
        <w:rPr>
          <w:rFonts w:hint="eastAsia"/>
        </w:rPr>
      </w:pPr>
      <w:r>
        <w:rPr>
          <w:rFonts w:hint="eastAsia"/>
        </w:rPr>
        <w:t>11、产品支持用户账号全生命周期保护功能，包括用户账号多余入口检测、用户账号弱口令检测、用户账号暴力破解检测、失</w:t>
      </w:r>
      <w:bookmarkStart w:id="0" w:name="_GoBack"/>
      <w:bookmarkEnd w:id="0"/>
      <w:r>
        <w:rPr>
          <w:rFonts w:hint="eastAsia"/>
        </w:rPr>
        <w:t>陷账号检测，防止因账号被暴力破解导致的非法提权情况发生；</w:t>
      </w:r>
    </w:p>
    <w:p w14:paraId="3614EFA1">
      <w:pPr>
        <w:rPr>
          <w:rFonts w:hint="eastAsia"/>
        </w:rPr>
      </w:pPr>
      <w:r>
        <w:rPr>
          <w:rFonts w:hint="eastAsia"/>
        </w:rPr>
        <w:t>12、产品支持Cookie攻击防护功能，并通过日志记录Cookie被篡改。（需提供产品功能截图证明和具备CMA/CNAS标识的第三方检测报告</w:t>
      </w:r>
      <w:r>
        <w:rPr>
          <w:rFonts w:hint="eastAsia"/>
          <w:lang w:eastAsia="zh-CN"/>
        </w:rPr>
        <w:t>，至少提供首页尾页和功能页，并加盖厂商公章</w:t>
      </w:r>
      <w:r>
        <w:rPr>
          <w:rFonts w:hint="eastAsia"/>
        </w:rPr>
        <w:t>）；</w:t>
      </w:r>
    </w:p>
    <w:p w14:paraId="30C61129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13、产品内置蜜罐诱捕服务，在防火墙上部署一些作为诱饵的伪装业务，诱捕内外网的攻击行为，并联合云端分析技术溯源和反制，在设备界面可以看到攻击者列表，包含攻击者IP、危险等级、攻击源、地理位置、社交指纹、影响真实业务、攻击次数、最高攻击时间、最近攻击时间。（需提供产品功能截图和“云蜜罐”相关软件著作权</w:t>
      </w:r>
      <w:r>
        <w:rPr>
          <w:rFonts w:hint="eastAsia"/>
          <w:lang w:eastAsia="zh-CN"/>
        </w:rPr>
        <w:t>并加盖厂商公章</w:t>
      </w:r>
      <w:r>
        <w:rPr>
          <w:rFonts w:hint="eastAsia"/>
        </w:rPr>
        <w:t>）；</w:t>
      </w:r>
    </w:p>
    <w:p w14:paraId="7120BA4B">
      <w:pPr>
        <w:jc w:val="center"/>
        <w:rPr>
          <w:rFonts w:hint="default"/>
          <w:sz w:val="52"/>
          <w:szCs w:val="52"/>
          <w:vertAlign w:val="baseline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037"/>
        <w:gridCol w:w="1938"/>
        <w:gridCol w:w="3659"/>
        <w:gridCol w:w="1150"/>
        <w:gridCol w:w="1010"/>
        <w:gridCol w:w="1772"/>
        <w:gridCol w:w="1772"/>
      </w:tblGrid>
      <w:tr w14:paraId="7028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200AB0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37" w:type="dxa"/>
          </w:tcPr>
          <w:p w14:paraId="594E5E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938" w:type="dxa"/>
          </w:tcPr>
          <w:p w14:paraId="2B7A3F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产品规格型号</w:t>
            </w:r>
          </w:p>
        </w:tc>
        <w:tc>
          <w:tcPr>
            <w:tcW w:w="3659" w:type="dxa"/>
          </w:tcPr>
          <w:p w14:paraId="53EEA6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150" w:type="dxa"/>
          </w:tcPr>
          <w:p w14:paraId="0F4273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10" w:type="dxa"/>
          </w:tcPr>
          <w:p w14:paraId="5D294A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72" w:type="dxa"/>
          </w:tcPr>
          <w:p w14:paraId="372D50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772" w:type="dxa"/>
          </w:tcPr>
          <w:p w14:paraId="66B977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95F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2AD011C7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 w14:paraId="1260B3EB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7DE1B76A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 w14:paraId="56D746AD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365C436E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010" w:type="dxa"/>
          </w:tcPr>
          <w:p w14:paraId="2536E6B9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CF1186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A6A7F57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4D30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67DE86F8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 w14:paraId="61C2F9E0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29C6CDE0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 w14:paraId="07A0320D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40E39403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010" w:type="dxa"/>
          </w:tcPr>
          <w:p w14:paraId="2A468EFD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A3E6B31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7236683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7EE2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08AE7FC7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 w14:paraId="15FE6B96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2E936141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 w14:paraId="1D80D22E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236312DA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010" w:type="dxa"/>
          </w:tcPr>
          <w:p w14:paraId="14550B27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7CAB76B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06D8424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19F4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23510DCE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 w14:paraId="7A22E5E5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4F28F6C7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 w14:paraId="2F0612D4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6772D32D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010" w:type="dxa"/>
          </w:tcPr>
          <w:p w14:paraId="4B7625B4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C1C9C72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77DBBEE">
            <w:pPr>
              <w:jc w:val="center"/>
              <w:rPr>
                <w:rFonts w:hint="eastAsia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0682F259">
      <w:pPr>
        <w:jc w:val="left"/>
        <w:rPr>
          <w:rFonts w:hint="eastAsia"/>
          <w:sz w:val="28"/>
          <w:szCs w:val="28"/>
          <w:lang w:val="en-US" w:eastAsia="zh-CN"/>
        </w:rPr>
      </w:pPr>
    </w:p>
    <w:p w14:paraId="0BF03AB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A418864">
      <w:pPr>
        <w:jc w:val="left"/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83EAA"/>
    <w:rsid w:val="32FB0AD4"/>
    <w:rsid w:val="359839A5"/>
    <w:rsid w:val="369A5D60"/>
    <w:rsid w:val="3E773871"/>
    <w:rsid w:val="455B4E32"/>
    <w:rsid w:val="4AD252FE"/>
    <w:rsid w:val="5983797D"/>
    <w:rsid w:val="66D2749B"/>
    <w:rsid w:val="67D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1379</Characters>
  <Lines>0</Lines>
  <Paragraphs>0</Paragraphs>
  <TotalTime>33</TotalTime>
  <ScaleCrop>false</ScaleCrop>
  <LinksUpToDate>false</LinksUpToDate>
  <CharactersWithSpaces>1383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2025-08-13T01:42:00Z</dcterms:created>
  <dc:creator>SXF-Admin</dc:creator>
  <cp:lastModifiedBy>未命名</cp:lastModifiedBy>
  <dcterms:modified xsi:type="dcterms:W3CDTF">2025-08-21T01:28:37Z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eyJoZGlkIjoiMmVhYjIwYTFkMDUyN2RmOGI2OTNiMWRjYmY5MjBlYTUiLCJ1c2VySWQiOiI3MjIwNTAyODEifQ==</vt:lpwstr>
  </property>
  <property fmtid="{D5CDD505-2E9C-101B-9397-08002B2CF9AE}" pid="4" name="ICV">
    <vt:lpwstr>3D53CCCF0243434280414332F7B29C5B_13</vt:lpwstr>
  </property>
</Properties>
</file>