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DAAE">
      <w:pPr>
        <w:jc w:val="left"/>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附件一</w:t>
      </w:r>
    </w:p>
    <w:p w14:paraId="2608882C">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hint="eastAsia" w:ascii="新宋体" w:hAnsi="新宋体" w:eastAsia="新宋体" w:cs="新宋体"/>
          <w:kern w:val="0"/>
          <w:sz w:val="24"/>
          <w:shd w:val="clear" w:color="auto" w:fill="FFFFFF"/>
        </w:rPr>
        <w:t>1</w:t>
      </w:r>
      <w:r>
        <w:rPr>
          <w:rFonts w:ascii="新宋体" w:hAnsi="新宋体" w:eastAsia="新宋体" w:cs="新宋体"/>
          <w:kern w:val="0"/>
          <w:sz w:val="24"/>
          <w:shd w:val="clear" w:color="auto" w:fill="FFFFFF"/>
        </w:rPr>
        <w:t xml:space="preserve">.服务要求： </w:t>
      </w:r>
    </w:p>
    <w:p w14:paraId="6A1F5983">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按照《信息技术网络安全等级保护基本要求》（GB/T 22239-2019）和《信息技术网络安全等级保护测评要求》（GB/T 28448-2019）要求，对HIS、电子病历两个三级信息系统进行网络安全等级保护测评工作，包含安全物理环境、安全通信网络、安全区域边界、安全计算环境、安全管理中心、安全管理制度、安全管理机构、安全管理人员、安全建设管理、安全运维管理进行等级保护测评，包含初次测评和验收测评。中标方需按照《网络安全等级保护测评过程指南》进行测评准备、方案编制、现场测评、分析及报告编制工作，通过单项测评结果判定、单元测评结果判定、整体测评和风险分析等方法，找出信息系统的安全保护现状与相应等级的保护要求之间的差距，分析这些差距导致被测系统面临的风险，从而给出等级测评结论，形成测评报告，并组织专家评审。 </w:t>
      </w:r>
    </w:p>
    <w:p w14:paraId="642D050A">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（1）测评对象</w:t>
      </w:r>
      <w:r>
        <w:rPr>
          <w:rFonts w:hint="eastAsia" w:ascii="新宋体" w:hAnsi="新宋体" w:eastAsia="新宋体" w:cs="新宋体"/>
          <w:kern w:val="0"/>
          <w:sz w:val="24"/>
          <w:shd w:val="clear" w:color="auto" w:fill="FFFFFF"/>
          <w:lang w:eastAsia="zh-CN"/>
        </w:rPr>
        <w:t>：</w:t>
      </w:r>
      <w:r>
        <w:rPr>
          <w:rFonts w:hint="eastAsia" w:ascii="新宋体" w:hAnsi="新宋体" w:eastAsia="新宋体" w:cs="新宋体"/>
          <w:kern w:val="0"/>
          <w:sz w:val="24"/>
          <w:shd w:val="clear" w:color="auto" w:fill="FFFFFF"/>
          <w:lang w:val="en-US" w:eastAsia="zh-CN"/>
        </w:rPr>
        <w:t>2个</w:t>
      </w:r>
      <w:r>
        <w:rPr>
          <w:rFonts w:ascii="新宋体" w:hAnsi="新宋体" w:eastAsia="新宋体" w:cs="新宋体"/>
          <w:kern w:val="0"/>
          <w:sz w:val="24"/>
          <w:shd w:val="clear" w:color="auto" w:fill="FFFFFF"/>
        </w:rPr>
        <w:t>三级</w:t>
      </w:r>
      <w:r>
        <w:rPr>
          <w:rFonts w:hint="eastAsia" w:ascii="新宋体" w:hAnsi="新宋体" w:eastAsia="新宋体" w:cs="新宋体"/>
          <w:kern w:val="0"/>
          <w:sz w:val="24"/>
          <w:shd w:val="clear" w:color="auto" w:fill="FFFFFF"/>
          <w:lang w:val="en-US" w:eastAsia="zh-CN"/>
        </w:rPr>
        <w:t>系统</w:t>
      </w:r>
      <w:r>
        <w:rPr>
          <w:rFonts w:ascii="新宋体" w:hAnsi="新宋体" w:eastAsia="新宋体" w:cs="新宋体"/>
          <w:kern w:val="0"/>
          <w:sz w:val="24"/>
          <w:shd w:val="clear" w:color="auto" w:fill="FFFFFF"/>
        </w:rPr>
        <w:t xml:space="preserve">。 </w:t>
      </w:r>
    </w:p>
    <w:p w14:paraId="7F96F2DF">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2）测评内容。1）安全控制测评，主要测评网络安全等级保护要求的基本安全控制在信息系统中的实施配置情况；2）系统整体测评，主要测评分析信息系统的整体安全性。其中，安全控制测评是信息系统整体安全测评的基础；3）组织专家评审。 </w:t>
      </w:r>
    </w:p>
    <w:p w14:paraId="3777B7A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（3）测评对象种类 </w:t>
      </w:r>
    </w:p>
    <w:p w14:paraId="6DCD3F34">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依照网络安全等级保护具体要求、参考业界权威的安全风险评估标准与模型，全方面对医院信息系统进行全面评估。 </w:t>
      </w:r>
    </w:p>
    <w:p w14:paraId="2EFAFF7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测评对象种类主要包括以下几个方面： </w:t>
      </w:r>
    </w:p>
    <w:p w14:paraId="11528516">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（a）整体网络拓扑结构； </w:t>
      </w:r>
    </w:p>
    <w:p w14:paraId="5100F6DF">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（b）网络设备：包括路由器、核心交换机、汇聚层交换机等； </w:t>
      </w:r>
    </w:p>
    <w:p w14:paraId="5ACC4A53">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（c）安全设备：包括防火墙、IDS/IPS、入侵防御系统等； </w:t>
      </w:r>
    </w:p>
    <w:p w14:paraId="5811100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（d）数据库、中间件、终端设施、服务器等； </w:t>
      </w:r>
    </w:p>
    <w:p w14:paraId="1B82822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（e）业务应用软件、系统管理软件； </w:t>
      </w:r>
    </w:p>
    <w:p w14:paraId="79465D36">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（f）重要管理终端（针对三级及以上系统） </w:t>
      </w:r>
    </w:p>
    <w:p w14:paraId="604894B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（g）系统管理员、审计管理员、业务管理员和安全管理员； </w:t>
      </w:r>
    </w:p>
    <w:p w14:paraId="53EF12F8">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（h）涉及到系统安全的所有管理制度和记录。 </w:t>
      </w:r>
    </w:p>
    <w:p w14:paraId="2259D41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（2）根据磋商文件评分要求对供应商提供的响应文件进行综合评分，选择综合评分最高的供应商参与本项目实施。 </w:t>
      </w:r>
    </w:p>
    <w:p w14:paraId="3EBFF3EB">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5.服务地点及时间要求 </w:t>
      </w:r>
    </w:p>
    <w:p w14:paraId="3B3A41ED">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（1）服务地点：业主指定地点 </w:t>
      </w:r>
    </w:p>
    <w:p w14:paraId="6AE0BE55">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（2）服务期限：合同签订之日起一年</w:t>
      </w:r>
      <w:r>
        <w:rPr>
          <w:rFonts w:hint="eastAsia" w:ascii="新宋体" w:hAnsi="新宋体" w:eastAsia="新宋体" w:cs="新宋体"/>
          <w:kern w:val="0"/>
          <w:sz w:val="24"/>
          <w:shd w:val="clear" w:color="auto" w:fill="FFFFFF"/>
          <w:lang w:eastAsia="zh-CN"/>
        </w:rPr>
        <w:t>。</w:t>
      </w:r>
      <w:r>
        <w:rPr>
          <w:rFonts w:ascii="新宋体" w:hAnsi="新宋体" w:eastAsia="新宋体" w:cs="新宋体"/>
          <w:kern w:val="0"/>
          <w:sz w:val="24"/>
          <w:shd w:val="clear" w:color="auto" w:fill="FFFFFF"/>
        </w:rPr>
        <w:t xml:space="preserve"> </w:t>
      </w:r>
    </w:p>
    <w:p w14:paraId="1E1F9C8B">
      <w:pPr>
        <w:jc w:val="left"/>
        <w:rPr>
          <w:rFonts w:hint="eastAsia" w:ascii="宋体" w:hAnsi="宋体" w:eastAsia="宋体"/>
          <w:b/>
          <w:bCs/>
          <w:sz w:val="36"/>
          <w:szCs w:val="36"/>
        </w:rPr>
      </w:pPr>
    </w:p>
    <w:p w14:paraId="6F6416CB">
      <w:pPr>
        <w:jc w:val="left"/>
        <w:rPr>
          <w:rFonts w:hint="eastAsia" w:ascii="宋体" w:hAnsi="宋体" w:eastAsia="宋体"/>
          <w:b/>
          <w:bCs/>
          <w:sz w:val="36"/>
          <w:szCs w:val="36"/>
        </w:rPr>
      </w:pPr>
    </w:p>
    <w:p w14:paraId="38B6779E">
      <w:pPr>
        <w:jc w:val="left"/>
        <w:rPr>
          <w:rFonts w:hint="eastAsia" w:ascii="宋体" w:hAnsi="宋体" w:eastAsia="宋体"/>
          <w:b/>
          <w:bCs/>
          <w:sz w:val="36"/>
          <w:szCs w:val="36"/>
        </w:rPr>
      </w:pPr>
    </w:p>
    <w:p w14:paraId="470FD826">
      <w:pPr>
        <w:jc w:val="left"/>
        <w:rPr>
          <w:rFonts w:hint="eastAsia" w:ascii="宋体" w:hAnsi="宋体" w:eastAsia="宋体"/>
          <w:b/>
          <w:bCs/>
          <w:sz w:val="36"/>
          <w:szCs w:val="36"/>
          <w:lang w:val="en-US" w:eastAsia="zh-CN"/>
        </w:rPr>
      </w:pPr>
      <w:r>
        <w:rPr>
          <w:rFonts w:hint="eastAsia" w:ascii="宋体" w:hAnsi="宋体" w:eastAsia="宋体"/>
          <w:b/>
          <w:bCs/>
          <w:sz w:val="36"/>
          <w:szCs w:val="36"/>
        </w:rPr>
        <w:t>附件</w:t>
      </w:r>
      <w:r>
        <w:rPr>
          <w:rFonts w:hint="eastAsia" w:ascii="宋体" w:hAnsi="宋体" w:eastAsia="宋体"/>
          <w:b/>
          <w:bCs/>
          <w:sz w:val="36"/>
          <w:szCs w:val="36"/>
          <w:lang w:val="en-US" w:eastAsia="zh-CN"/>
        </w:rPr>
        <w:t>二</w:t>
      </w:r>
    </w:p>
    <w:p w14:paraId="6DAFE6A7">
      <w:pPr>
        <w:spacing w:line="720" w:lineRule="auto"/>
        <w:rPr>
          <w:rFonts w:hint="eastAsia" w:ascii="宋体" w:hAnsi="宋体" w:eastAsia="宋体" w:cs="宋体"/>
          <w:b/>
          <w:bCs/>
          <w:sz w:val="28"/>
          <w:szCs w:val="28"/>
        </w:rPr>
      </w:pPr>
      <w:bookmarkStart w:id="0" w:name="_Toc28855"/>
      <w:bookmarkStart w:id="1" w:name="_Toc18221"/>
      <w:bookmarkStart w:id="2" w:name="_Toc1346"/>
      <w:r>
        <w:rPr>
          <w:rFonts w:hint="eastAsia" w:ascii="宋体" w:hAnsi="宋体" w:eastAsia="宋体" w:cs="宋体"/>
          <w:b/>
          <w:bCs/>
          <w:sz w:val="28"/>
          <w:szCs w:val="28"/>
        </w:rPr>
        <w:t>报价分：</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0 分</w:t>
      </w:r>
      <w:bookmarkEnd w:id="0"/>
      <w:bookmarkEnd w:id="1"/>
      <w:bookmarkEnd w:id="2"/>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152"/>
      </w:tblGrid>
      <w:tr w14:paraId="01CF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2" w:type="dxa"/>
            <w:vAlign w:val="center"/>
          </w:tcPr>
          <w:p w14:paraId="556A6C0A">
            <w:pPr>
              <w:spacing w:line="480" w:lineRule="exact"/>
              <w:rPr>
                <w:rFonts w:hint="eastAsia" w:ascii="宋体" w:hAnsi="宋体" w:eastAsia="宋体" w:cs="宋体"/>
                <w:bCs/>
                <w:szCs w:val="21"/>
              </w:rPr>
            </w:pPr>
            <w:bookmarkStart w:id="3" w:name="_Toc26182"/>
            <w:bookmarkStart w:id="4" w:name="_Toc28534"/>
            <w:bookmarkStart w:id="5" w:name="_Toc5594"/>
            <w:r>
              <w:rPr>
                <w:rFonts w:hint="eastAsia" w:ascii="宋体" w:hAnsi="宋体" w:eastAsia="宋体" w:cs="宋体"/>
                <w:bCs/>
                <w:szCs w:val="21"/>
              </w:rPr>
              <w:t>评分项目</w:t>
            </w:r>
            <w:bookmarkEnd w:id="3"/>
            <w:bookmarkEnd w:id="4"/>
            <w:bookmarkEnd w:id="5"/>
          </w:p>
        </w:tc>
        <w:tc>
          <w:tcPr>
            <w:tcW w:w="8152" w:type="dxa"/>
            <w:vAlign w:val="center"/>
          </w:tcPr>
          <w:p w14:paraId="6016B86F">
            <w:pPr>
              <w:spacing w:line="480" w:lineRule="exact"/>
              <w:jc w:val="center"/>
              <w:rPr>
                <w:rFonts w:hint="eastAsia" w:ascii="宋体" w:hAnsi="宋体" w:eastAsia="宋体" w:cs="宋体"/>
                <w:szCs w:val="21"/>
              </w:rPr>
            </w:pPr>
            <w:bookmarkStart w:id="6" w:name="_Toc8675"/>
            <w:bookmarkStart w:id="7" w:name="_Toc2836"/>
            <w:bookmarkStart w:id="8" w:name="_Toc25059"/>
            <w:r>
              <w:rPr>
                <w:rFonts w:hint="eastAsia" w:ascii="宋体" w:hAnsi="宋体" w:eastAsia="宋体" w:cs="宋体"/>
                <w:bCs/>
                <w:szCs w:val="21"/>
              </w:rPr>
              <w:t>说   明</w:t>
            </w:r>
            <w:bookmarkEnd w:id="6"/>
            <w:bookmarkEnd w:id="7"/>
            <w:bookmarkEnd w:id="8"/>
          </w:p>
        </w:tc>
      </w:tr>
      <w:tr w14:paraId="70F1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vAlign w:val="top"/>
          </w:tcPr>
          <w:p w14:paraId="67D7E421">
            <w:pPr>
              <w:pStyle w:val="13"/>
              <w:spacing w:before="208" w:line="218" w:lineRule="auto"/>
              <w:ind w:left="104"/>
              <w:rPr>
                <w:sz w:val="24"/>
                <w:szCs w:val="24"/>
              </w:rPr>
            </w:pPr>
            <w:r>
              <w:rPr>
                <w:spacing w:val="3"/>
                <w:sz w:val="24"/>
                <w:szCs w:val="24"/>
              </w:rPr>
              <w:t>价格分</w:t>
            </w:r>
          </w:p>
          <w:p w14:paraId="70538269">
            <w:pPr>
              <w:pStyle w:val="13"/>
              <w:spacing w:before="289" w:line="220" w:lineRule="auto"/>
              <w:rPr>
                <w:rFonts w:hint="eastAsia" w:ascii="宋体" w:hAnsi="宋体" w:eastAsia="宋体" w:cs="宋体"/>
                <w:szCs w:val="21"/>
              </w:rPr>
            </w:pPr>
            <w:r>
              <w:rPr>
                <w:spacing w:val="10"/>
                <w:sz w:val="24"/>
                <w:szCs w:val="24"/>
              </w:rPr>
              <w:t>(</w:t>
            </w:r>
            <w:r>
              <w:rPr>
                <w:rFonts w:hint="eastAsia"/>
                <w:spacing w:val="10"/>
                <w:sz w:val="24"/>
                <w:szCs w:val="24"/>
                <w:lang w:val="en-US" w:eastAsia="zh-CN"/>
              </w:rPr>
              <w:t>2</w:t>
            </w:r>
            <w:r>
              <w:rPr>
                <w:spacing w:val="10"/>
                <w:sz w:val="24"/>
                <w:szCs w:val="24"/>
              </w:rPr>
              <w:t>0分)</w:t>
            </w:r>
          </w:p>
        </w:tc>
        <w:tc>
          <w:tcPr>
            <w:tcW w:w="8152" w:type="dxa"/>
            <w:vAlign w:val="top"/>
          </w:tcPr>
          <w:p w14:paraId="3E6DCD13">
            <w:pPr>
              <w:pStyle w:val="13"/>
              <w:spacing w:before="18" w:line="235" w:lineRule="auto"/>
              <w:ind w:left="100" w:right="101"/>
              <w:rPr>
                <w:sz w:val="24"/>
                <w:szCs w:val="24"/>
              </w:rPr>
            </w:pPr>
            <w:r>
              <w:rPr>
                <w:spacing w:val="2"/>
                <w:sz w:val="24"/>
                <w:szCs w:val="24"/>
              </w:rPr>
              <w:t>投标报价得分=(评标基准价/有效投标报价)</w:t>
            </w:r>
            <w:r>
              <w:rPr>
                <w:sz w:val="24"/>
                <w:szCs w:val="24"/>
              </w:rPr>
              <w:t>×价格权值(</w:t>
            </w:r>
            <w:r>
              <w:rPr>
                <w:rFonts w:hint="eastAsia"/>
                <w:sz w:val="24"/>
                <w:szCs w:val="24"/>
                <w:lang w:val="en-US" w:eastAsia="zh-CN"/>
              </w:rPr>
              <w:t>2</w:t>
            </w:r>
            <w:r>
              <w:rPr>
                <w:sz w:val="24"/>
                <w:szCs w:val="24"/>
              </w:rPr>
              <w:t>0%)×100</w:t>
            </w:r>
          </w:p>
          <w:p w14:paraId="009D6B2D">
            <w:pPr>
              <w:pStyle w:val="13"/>
              <w:spacing w:line="215" w:lineRule="auto"/>
              <w:ind w:left="90" w:leftChars="0"/>
              <w:rPr>
                <w:spacing w:val="-4"/>
                <w:sz w:val="24"/>
                <w:szCs w:val="24"/>
              </w:rPr>
            </w:pPr>
          </w:p>
          <w:p w14:paraId="44BDFBEA">
            <w:pPr>
              <w:pStyle w:val="13"/>
              <w:spacing w:line="215" w:lineRule="auto"/>
              <w:ind w:left="90" w:leftChars="0"/>
              <w:rPr>
                <w:rFonts w:hint="eastAsia" w:ascii="宋体" w:hAnsi="宋体" w:eastAsia="宋体" w:cs="宋体"/>
                <w:szCs w:val="21"/>
              </w:rPr>
            </w:pPr>
            <w:r>
              <w:rPr>
                <w:spacing w:val="-4"/>
                <w:sz w:val="24"/>
                <w:szCs w:val="24"/>
              </w:rPr>
              <w:t>注：投标报价得分取两位小数，第三位四舍五</w:t>
            </w:r>
            <w:r>
              <w:rPr>
                <w:spacing w:val="-1"/>
                <w:sz w:val="24"/>
                <w:szCs w:val="24"/>
              </w:rPr>
              <w:t>入。</w:t>
            </w:r>
          </w:p>
        </w:tc>
      </w:tr>
    </w:tbl>
    <w:p w14:paraId="359F0060">
      <w:pPr>
        <w:spacing w:line="72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技术分</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 分</w:t>
      </w:r>
    </w:p>
    <w:tbl>
      <w:tblPr>
        <w:tblStyle w:val="7"/>
        <w:tblW w:w="9260" w:type="dxa"/>
        <w:jc w:val="center"/>
        <w:tblLayout w:type="fixed"/>
        <w:tblCellMar>
          <w:top w:w="0" w:type="dxa"/>
          <w:left w:w="108" w:type="dxa"/>
          <w:bottom w:w="0" w:type="dxa"/>
          <w:right w:w="108" w:type="dxa"/>
        </w:tblCellMar>
      </w:tblPr>
      <w:tblGrid>
        <w:gridCol w:w="1099"/>
        <w:gridCol w:w="720"/>
        <w:gridCol w:w="7441"/>
      </w:tblGrid>
      <w:tr w14:paraId="7287AE90">
        <w:tblPrEx>
          <w:tblCellMar>
            <w:top w:w="0" w:type="dxa"/>
            <w:left w:w="108" w:type="dxa"/>
            <w:bottom w:w="0" w:type="dxa"/>
            <w:right w:w="108" w:type="dxa"/>
          </w:tblCellMar>
        </w:tblPrEx>
        <w:trPr>
          <w:trHeight w:val="50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30ED828B">
            <w:pPr>
              <w:widowControl/>
              <w:spacing w:line="360" w:lineRule="auto"/>
              <w:jc w:val="center"/>
              <w:outlineLvl w:val="3"/>
              <w:rPr>
                <w:rFonts w:hint="eastAsia" w:ascii="宋体" w:hAnsi="宋体" w:eastAsia="宋体" w:cs="宋体"/>
                <w:b/>
                <w:bCs/>
                <w:kern w:val="0"/>
                <w:szCs w:val="21"/>
              </w:rPr>
            </w:pPr>
            <w:r>
              <w:rPr>
                <w:rFonts w:hint="eastAsia" w:ascii="宋体" w:hAnsi="宋体" w:eastAsia="宋体" w:cs="宋体"/>
                <w:b/>
                <w:bCs/>
                <w:kern w:val="0"/>
                <w:szCs w:val="21"/>
              </w:rPr>
              <w:t>评分项目</w:t>
            </w:r>
          </w:p>
        </w:tc>
        <w:tc>
          <w:tcPr>
            <w:tcW w:w="720" w:type="dxa"/>
            <w:tcBorders>
              <w:top w:val="single" w:color="auto" w:sz="4" w:space="0"/>
              <w:left w:val="nil"/>
              <w:bottom w:val="single" w:color="auto" w:sz="4" w:space="0"/>
              <w:right w:val="single" w:color="auto" w:sz="4" w:space="0"/>
            </w:tcBorders>
            <w:vAlign w:val="center"/>
          </w:tcPr>
          <w:p w14:paraId="18570408">
            <w:pPr>
              <w:widowControl/>
              <w:spacing w:line="360" w:lineRule="auto"/>
              <w:jc w:val="center"/>
              <w:outlineLvl w:val="3"/>
              <w:rPr>
                <w:rFonts w:hint="eastAsia" w:ascii="宋体" w:hAnsi="宋体" w:eastAsia="宋体" w:cs="宋体"/>
                <w:b/>
                <w:bCs/>
                <w:kern w:val="0"/>
                <w:szCs w:val="21"/>
              </w:rPr>
            </w:pPr>
            <w:r>
              <w:rPr>
                <w:rFonts w:hint="eastAsia" w:ascii="宋体" w:hAnsi="宋体" w:eastAsia="宋体" w:cs="宋体"/>
                <w:b/>
                <w:bCs/>
                <w:kern w:val="0"/>
                <w:szCs w:val="21"/>
              </w:rPr>
              <w:t>分值</w:t>
            </w:r>
          </w:p>
        </w:tc>
        <w:tc>
          <w:tcPr>
            <w:tcW w:w="7441" w:type="dxa"/>
            <w:tcBorders>
              <w:top w:val="single" w:color="auto" w:sz="4" w:space="0"/>
              <w:left w:val="nil"/>
              <w:bottom w:val="single" w:color="auto" w:sz="4" w:space="0"/>
              <w:right w:val="single" w:color="auto" w:sz="4" w:space="0"/>
            </w:tcBorders>
            <w:vAlign w:val="center"/>
          </w:tcPr>
          <w:p w14:paraId="7C4DF58C">
            <w:pPr>
              <w:widowControl/>
              <w:spacing w:line="360" w:lineRule="auto"/>
              <w:jc w:val="center"/>
              <w:outlineLvl w:val="3"/>
              <w:rPr>
                <w:rFonts w:hint="eastAsia" w:ascii="宋体" w:hAnsi="宋体" w:eastAsia="宋体" w:cs="宋体"/>
                <w:b/>
                <w:bCs/>
                <w:kern w:val="0"/>
                <w:szCs w:val="21"/>
              </w:rPr>
            </w:pPr>
            <w:r>
              <w:rPr>
                <w:rFonts w:hint="eastAsia" w:ascii="宋体" w:hAnsi="宋体" w:eastAsia="宋体" w:cs="宋体"/>
                <w:b/>
                <w:bCs/>
                <w:kern w:val="0"/>
                <w:szCs w:val="21"/>
              </w:rPr>
              <w:t>评分标准</w:t>
            </w:r>
          </w:p>
        </w:tc>
      </w:tr>
      <w:tr w14:paraId="17E0B8E8">
        <w:tblPrEx>
          <w:tblCellMar>
            <w:top w:w="0" w:type="dxa"/>
            <w:left w:w="108" w:type="dxa"/>
            <w:bottom w:w="0" w:type="dxa"/>
            <w:right w:w="108" w:type="dxa"/>
          </w:tblCellMar>
        </w:tblPrEx>
        <w:trPr>
          <w:trHeight w:val="9460" w:hRule="atLeast"/>
          <w:jc w:val="center"/>
        </w:trPr>
        <w:tc>
          <w:tcPr>
            <w:tcW w:w="1099" w:type="dxa"/>
            <w:vMerge w:val="restart"/>
            <w:tcBorders>
              <w:top w:val="single" w:color="auto" w:sz="4" w:space="0"/>
              <w:left w:val="single" w:color="auto" w:sz="4" w:space="0"/>
              <w:right w:val="single" w:color="auto" w:sz="4" w:space="0"/>
            </w:tcBorders>
            <w:vAlign w:val="center"/>
          </w:tcPr>
          <w:p w14:paraId="097DB17C">
            <w:pPr>
              <w:widowControl/>
              <w:wordWrap w:val="0"/>
              <w:spacing w:line="360" w:lineRule="auto"/>
              <w:jc w:val="left"/>
              <w:rPr>
                <w:rFonts w:hint="eastAsia" w:ascii="宋体" w:hAnsi="宋体" w:eastAsia="宋体" w:cs="宋体"/>
                <w:szCs w:val="21"/>
                <w:lang w:val="en-US" w:eastAsia="zh-CN" w:bidi="ar"/>
              </w:rPr>
            </w:pPr>
            <w:r>
              <w:rPr>
                <w:rFonts w:hint="eastAsia" w:ascii="宋体" w:hAnsi="宋体" w:eastAsia="宋体" w:cs="宋体"/>
                <w:szCs w:val="21"/>
                <w:lang w:val="en-US" w:eastAsia="zh-CN" w:bidi="ar"/>
              </w:rPr>
              <w:t>技术分</w:t>
            </w:r>
          </w:p>
          <w:p w14:paraId="52DEDD2F">
            <w:pPr>
              <w:widowControl/>
              <w:wordWrap w:val="0"/>
              <w:spacing w:line="360" w:lineRule="auto"/>
              <w:jc w:val="left"/>
              <w:rPr>
                <w:rFonts w:hint="eastAsia" w:ascii="宋体" w:hAnsi="宋体" w:eastAsia="宋体" w:cs="宋体"/>
                <w:szCs w:val="21"/>
                <w:lang w:val="zh-TW" w:eastAsia="zh-CN" w:bidi="ar"/>
              </w:rPr>
            </w:pPr>
            <w:r>
              <w:rPr>
                <w:rFonts w:hint="eastAsia" w:ascii="宋体" w:hAnsi="宋体" w:eastAsia="宋体" w:cs="宋体"/>
                <w:szCs w:val="21"/>
                <w:lang w:val="en-US" w:eastAsia="zh-CN" w:bidi="ar"/>
              </w:rPr>
              <w:t>（30分）</w:t>
            </w:r>
          </w:p>
        </w:tc>
        <w:tc>
          <w:tcPr>
            <w:tcW w:w="720" w:type="dxa"/>
            <w:tcBorders>
              <w:top w:val="single" w:color="auto" w:sz="4" w:space="0"/>
              <w:left w:val="nil"/>
              <w:bottom w:val="single" w:color="auto" w:sz="4" w:space="0"/>
              <w:right w:val="single" w:color="auto" w:sz="4" w:space="0"/>
            </w:tcBorders>
            <w:vAlign w:val="center"/>
          </w:tcPr>
          <w:p w14:paraId="4FF47BF6">
            <w:pPr>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0-20分</w:t>
            </w:r>
          </w:p>
        </w:tc>
        <w:tc>
          <w:tcPr>
            <w:tcW w:w="7441" w:type="dxa"/>
            <w:tcBorders>
              <w:top w:val="single" w:color="auto" w:sz="4" w:space="0"/>
              <w:left w:val="nil"/>
              <w:bottom w:val="single" w:color="auto" w:sz="4" w:space="0"/>
              <w:right w:val="single" w:color="auto" w:sz="4" w:space="0"/>
            </w:tcBorders>
            <w:vAlign w:val="center"/>
          </w:tcPr>
          <w:p w14:paraId="3E442FBE">
            <w:pPr>
              <w:pStyle w:val="10"/>
              <w:keepNext w:val="0"/>
              <w:keepLines w:val="0"/>
              <w:pageBreakBefore w:val="0"/>
              <w:kinsoku/>
              <w:wordWrap/>
              <w:overflowPunct/>
              <w:topLinePunct w:val="0"/>
              <w:autoSpaceDE/>
              <w:autoSpaceDN/>
              <w:bidi w:val="0"/>
              <w:adjustRightInd/>
              <w:snapToGrid/>
              <w:spacing w:line="360" w:lineRule="exact"/>
              <w:textAlignment w:val="auto"/>
              <w:rPr>
                <w:rFonts w:hint="eastAsia"/>
                <w:spacing w:val="-6"/>
                <w:sz w:val="24"/>
                <w:szCs w:val="24"/>
              </w:rPr>
            </w:pPr>
            <w:r>
              <w:rPr>
                <w:rFonts w:hint="eastAsia"/>
                <w:spacing w:val="-6"/>
                <w:sz w:val="24"/>
                <w:szCs w:val="24"/>
              </w:rPr>
              <w:t>整体服务方案:</w:t>
            </w:r>
          </w:p>
          <w:p w14:paraId="791D0D01">
            <w:pPr>
              <w:pStyle w:val="10"/>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spacing w:val="-6"/>
                <w:sz w:val="24"/>
                <w:szCs w:val="24"/>
              </w:rPr>
            </w:pPr>
            <w:r>
              <w:rPr>
                <w:rFonts w:hint="eastAsia"/>
                <w:spacing w:val="-6"/>
                <w:sz w:val="24"/>
                <w:szCs w:val="24"/>
              </w:rPr>
              <w:t>供应商根据本项目需求提供详细的等保测评服务方案，包括测评范围及内容、实施计划、项目管理措施、项目文档</w:t>
            </w:r>
            <w:r>
              <w:rPr>
                <w:rFonts w:hint="eastAsia"/>
                <w:spacing w:val="-6"/>
                <w:sz w:val="24"/>
                <w:szCs w:val="24"/>
                <w:lang w:val="en-US" w:eastAsia="zh-CN"/>
              </w:rPr>
              <w:t>模板</w:t>
            </w:r>
            <w:r>
              <w:rPr>
                <w:rFonts w:hint="eastAsia"/>
                <w:spacing w:val="-6"/>
                <w:sz w:val="24"/>
                <w:szCs w:val="24"/>
              </w:rPr>
              <w:t>等，根据服务方案完整情况进行评分，评分标准:</w:t>
            </w:r>
          </w:p>
          <w:p w14:paraId="1DF6C25E">
            <w:pPr>
              <w:pStyle w:val="10"/>
              <w:keepNext w:val="0"/>
              <w:keepLines w:val="0"/>
              <w:pageBreakBefore w:val="0"/>
              <w:numPr>
                <w:ilvl w:val="0"/>
                <w:numId w:val="3"/>
              </w:numPr>
              <w:tabs>
                <w:tab w:val="clear" w:pos="312"/>
              </w:tabs>
              <w:kinsoku/>
              <w:wordWrap/>
              <w:overflowPunct/>
              <w:topLinePunct w:val="0"/>
              <w:autoSpaceDE/>
              <w:autoSpaceDN/>
              <w:bidi w:val="0"/>
              <w:adjustRightInd/>
              <w:snapToGrid/>
              <w:spacing w:line="360" w:lineRule="exact"/>
              <w:textAlignment w:val="auto"/>
              <w:rPr>
                <w:rFonts w:hint="eastAsia"/>
                <w:spacing w:val="-6"/>
                <w:sz w:val="24"/>
                <w:szCs w:val="24"/>
              </w:rPr>
            </w:pPr>
            <w:r>
              <w:rPr>
                <w:rFonts w:hint="eastAsia"/>
                <w:spacing w:val="-6"/>
                <w:sz w:val="24"/>
                <w:szCs w:val="24"/>
              </w:rPr>
              <w:t>测评范围及内容</w:t>
            </w:r>
            <w:r>
              <w:rPr>
                <w:rFonts w:hint="eastAsia"/>
                <w:spacing w:val="-6"/>
                <w:sz w:val="24"/>
                <w:szCs w:val="24"/>
                <w:lang w:eastAsia="zh-CN"/>
              </w:rPr>
              <w:t>：</w:t>
            </w:r>
            <w:r>
              <w:rPr>
                <w:rFonts w:hint="eastAsia"/>
                <w:spacing w:val="-6"/>
                <w:sz w:val="24"/>
                <w:szCs w:val="24"/>
              </w:rPr>
              <w:t>根据对本项目需求理解及</w:t>
            </w:r>
            <w:r>
              <w:rPr>
                <w:rFonts w:hint="eastAsia"/>
                <w:spacing w:val="-6"/>
                <w:sz w:val="24"/>
                <w:szCs w:val="24"/>
                <w:lang w:val="en-US" w:eastAsia="zh-CN"/>
              </w:rPr>
              <w:t>重</w:t>
            </w:r>
            <w:r>
              <w:rPr>
                <w:rFonts w:hint="eastAsia"/>
                <w:spacing w:val="-6"/>
                <w:sz w:val="24"/>
                <w:szCs w:val="24"/>
              </w:rPr>
              <w:t>点难点分析、测评思路、测评内容等内容进行评价</w:t>
            </w:r>
            <w:r>
              <w:rPr>
                <w:rFonts w:hint="eastAsia"/>
                <w:spacing w:val="-6"/>
                <w:sz w:val="24"/>
                <w:szCs w:val="24"/>
                <w:lang w:eastAsia="zh-CN"/>
              </w:rPr>
              <w:t>。</w:t>
            </w:r>
          </w:p>
          <w:p w14:paraId="61EFEE38">
            <w:pPr>
              <w:pStyle w:val="10"/>
              <w:keepNext w:val="0"/>
              <w:keepLines w:val="0"/>
              <w:pageBreakBefore w:val="0"/>
              <w:numPr>
                <w:ilvl w:val="0"/>
                <w:numId w:val="3"/>
              </w:numPr>
              <w:tabs>
                <w:tab w:val="clear" w:pos="312"/>
              </w:tabs>
              <w:kinsoku/>
              <w:wordWrap/>
              <w:overflowPunct/>
              <w:topLinePunct w:val="0"/>
              <w:autoSpaceDE/>
              <w:autoSpaceDN/>
              <w:bidi w:val="0"/>
              <w:adjustRightInd/>
              <w:snapToGrid/>
              <w:spacing w:line="360" w:lineRule="exact"/>
              <w:textAlignment w:val="auto"/>
              <w:rPr>
                <w:rFonts w:hint="eastAsia"/>
                <w:spacing w:val="-6"/>
                <w:sz w:val="24"/>
                <w:szCs w:val="24"/>
                <w:lang w:eastAsia="zh-CN"/>
              </w:rPr>
            </w:pPr>
            <w:r>
              <w:rPr>
                <w:rFonts w:hint="eastAsia"/>
                <w:spacing w:val="-6"/>
                <w:sz w:val="24"/>
                <w:szCs w:val="24"/>
              </w:rPr>
              <w:t>实施计划</w:t>
            </w:r>
            <w:r>
              <w:rPr>
                <w:rFonts w:hint="eastAsia"/>
                <w:spacing w:val="-6"/>
                <w:sz w:val="24"/>
                <w:szCs w:val="24"/>
                <w:lang w:eastAsia="zh-CN"/>
              </w:rPr>
              <w:t>：</w:t>
            </w:r>
            <w:r>
              <w:rPr>
                <w:rFonts w:hint="eastAsia"/>
                <w:spacing w:val="-6"/>
                <w:sz w:val="24"/>
                <w:szCs w:val="24"/>
              </w:rPr>
              <w:t>根据测评系统情况制定合理的实施计划等内容进行评价</w:t>
            </w:r>
            <w:r>
              <w:rPr>
                <w:rFonts w:hint="eastAsia"/>
                <w:spacing w:val="-6"/>
                <w:sz w:val="24"/>
                <w:szCs w:val="24"/>
                <w:lang w:eastAsia="zh-CN"/>
              </w:rPr>
              <w:t>。</w:t>
            </w:r>
          </w:p>
          <w:p w14:paraId="5ABA60EE">
            <w:pPr>
              <w:pStyle w:val="10"/>
              <w:keepNext w:val="0"/>
              <w:keepLines w:val="0"/>
              <w:pageBreakBefore w:val="0"/>
              <w:numPr>
                <w:ilvl w:val="0"/>
                <w:numId w:val="3"/>
              </w:numPr>
              <w:tabs>
                <w:tab w:val="clear" w:pos="312"/>
              </w:tabs>
              <w:kinsoku/>
              <w:wordWrap/>
              <w:overflowPunct/>
              <w:topLinePunct w:val="0"/>
              <w:autoSpaceDE/>
              <w:autoSpaceDN/>
              <w:bidi w:val="0"/>
              <w:adjustRightInd/>
              <w:snapToGrid/>
              <w:spacing w:line="360" w:lineRule="exact"/>
              <w:textAlignment w:val="auto"/>
              <w:rPr>
                <w:rFonts w:hint="eastAsia"/>
                <w:spacing w:val="-6"/>
                <w:sz w:val="24"/>
                <w:szCs w:val="24"/>
              </w:rPr>
            </w:pPr>
            <w:r>
              <w:rPr>
                <w:rFonts w:hint="eastAsia"/>
                <w:spacing w:val="-6"/>
                <w:sz w:val="24"/>
                <w:szCs w:val="24"/>
                <w:lang w:val="en-US" w:eastAsia="zh-CN"/>
              </w:rPr>
              <w:t>项</w:t>
            </w:r>
            <w:r>
              <w:rPr>
                <w:rFonts w:hint="eastAsia"/>
                <w:spacing w:val="-6"/>
                <w:sz w:val="24"/>
                <w:szCs w:val="24"/>
              </w:rPr>
              <w:t>目管理措施</w:t>
            </w:r>
            <w:r>
              <w:rPr>
                <w:rFonts w:hint="eastAsia"/>
                <w:spacing w:val="-6"/>
                <w:sz w:val="24"/>
                <w:szCs w:val="24"/>
                <w:lang w:eastAsia="zh-CN"/>
              </w:rPr>
              <w:t>：</w:t>
            </w:r>
            <w:r>
              <w:rPr>
                <w:rFonts w:hint="eastAsia"/>
                <w:spacing w:val="-6"/>
                <w:sz w:val="24"/>
                <w:szCs w:val="24"/>
              </w:rPr>
              <w:t>根据管理方案和质量保证承诺综合评价</w:t>
            </w:r>
            <w:r>
              <w:rPr>
                <w:rFonts w:hint="eastAsia"/>
                <w:spacing w:val="-6"/>
                <w:sz w:val="24"/>
                <w:szCs w:val="24"/>
                <w:lang w:eastAsia="zh-CN"/>
              </w:rPr>
              <w:t>。</w:t>
            </w:r>
          </w:p>
          <w:p w14:paraId="718383D5">
            <w:pPr>
              <w:pStyle w:val="10"/>
              <w:keepNext w:val="0"/>
              <w:keepLines w:val="0"/>
              <w:pageBreakBefore w:val="0"/>
              <w:numPr>
                <w:ilvl w:val="0"/>
                <w:numId w:val="3"/>
              </w:numPr>
              <w:tabs>
                <w:tab w:val="clear" w:pos="312"/>
              </w:tabs>
              <w:kinsoku/>
              <w:wordWrap/>
              <w:overflowPunct/>
              <w:topLinePunct w:val="0"/>
              <w:autoSpaceDE/>
              <w:autoSpaceDN/>
              <w:bidi w:val="0"/>
              <w:adjustRightInd/>
              <w:snapToGrid/>
              <w:spacing w:line="360" w:lineRule="exact"/>
              <w:textAlignment w:val="auto"/>
              <w:rPr>
                <w:rFonts w:hint="eastAsia"/>
                <w:spacing w:val="-6"/>
                <w:sz w:val="24"/>
                <w:szCs w:val="24"/>
              </w:rPr>
            </w:pPr>
            <w:r>
              <w:rPr>
                <w:rFonts w:hint="eastAsia"/>
                <w:spacing w:val="-6"/>
                <w:sz w:val="24"/>
                <w:szCs w:val="24"/>
              </w:rPr>
              <w:t>项目文档模版</w:t>
            </w:r>
            <w:r>
              <w:rPr>
                <w:rFonts w:hint="eastAsia"/>
                <w:spacing w:val="-6"/>
                <w:sz w:val="24"/>
                <w:szCs w:val="24"/>
                <w:lang w:eastAsia="zh-CN"/>
              </w:rPr>
              <w:t>：</w:t>
            </w:r>
            <w:r>
              <w:rPr>
                <w:rFonts w:hint="eastAsia"/>
                <w:spacing w:val="-6"/>
                <w:sz w:val="24"/>
                <w:szCs w:val="24"/>
              </w:rPr>
              <w:t>根据采购内容提供的对应文档模版进行综合评价。</w:t>
            </w:r>
          </w:p>
          <w:p w14:paraId="25AC5385">
            <w:pPr>
              <w:pStyle w:val="10"/>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spacing w:val="-6"/>
                <w:sz w:val="24"/>
                <w:szCs w:val="24"/>
              </w:rPr>
            </w:pPr>
            <w:r>
              <w:rPr>
                <w:rFonts w:hint="eastAsia"/>
                <w:spacing w:val="-6"/>
                <w:sz w:val="24"/>
                <w:szCs w:val="24"/>
              </w:rPr>
              <w:t>以下4项不可重复得分:</w:t>
            </w:r>
          </w:p>
          <w:p w14:paraId="3A8F1E46">
            <w:pPr>
              <w:pStyle w:val="10"/>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spacing w:val="-6"/>
                <w:sz w:val="24"/>
                <w:szCs w:val="24"/>
                <w:lang w:eastAsia="zh-CN"/>
              </w:rPr>
            </w:pPr>
            <w:r>
              <w:rPr>
                <w:rFonts w:hint="eastAsia"/>
                <w:spacing w:val="-6"/>
                <w:sz w:val="24"/>
                <w:szCs w:val="24"/>
              </w:rPr>
              <w:t>了解服务需求以及重点难点分析，从方案</w:t>
            </w:r>
            <w:r>
              <w:rPr>
                <w:rFonts w:hint="eastAsia"/>
                <w:spacing w:val="-6"/>
                <w:sz w:val="24"/>
                <w:szCs w:val="24"/>
                <w:lang w:val="en-US" w:eastAsia="zh-CN"/>
              </w:rPr>
              <w:t>的</w:t>
            </w:r>
            <w:r>
              <w:rPr>
                <w:rFonts w:hint="eastAsia"/>
                <w:spacing w:val="-6"/>
                <w:sz w:val="24"/>
                <w:szCs w:val="24"/>
              </w:rPr>
              <w:t>可行性、合理性和建设性方面综合评价，得6-10分</w:t>
            </w:r>
            <w:r>
              <w:rPr>
                <w:rFonts w:hint="eastAsia"/>
                <w:spacing w:val="-6"/>
                <w:sz w:val="24"/>
                <w:szCs w:val="24"/>
                <w:lang w:eastAsia="zh-CN"/>
              </w:rPr>
              <w:t>。</w:t>
            </w:r>
          </w:p>
          <w:p w14:paraId="136B8066">
            <w:pPr>
              <w:pStyle w:val="10"/>
              <w:keepNext w:val="0"/>
              <w:keepLines w:val="0"/>
              <w:pageBreakBefore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spacing w:val="-6"/>
                <w:sz w:val="24"/>
                <w:szCs w:val="24"/>
                <w:lang w:eastAsia="zh-CN"/>
              </w:rPr>
            </w:pPr>
            <w:r>
              <w:rPr>
                <w:rFonts w:hint="eastAsia"/>
                <w:spacing w:val="-6"/>
                <w:sz w:val="24"/>
                <w:szCs w:val="24"/>
              </w:rPr>
              <w:t>方案理解完整、依据明确、方案内容及要点</w:t>
            </w:r>
            <w:r>
              <w:rPr>
                <w:rFonts w:hint="eastAsia"/>
                <w:spacing w:val="-6"/>
                <w:sz w:val="24"/>
                <w:szCs w:val="24"/>
                <w:lang w:val="en-US" w:eastAsia="zh-CN"/>
              </w:rPr>
              <w:t>清</w:t>
            </w:r>
            <w:r>
              <w:rPr>
                <w:rFonts w:hint="eastAsia"/>
                <w:spacing w:val="-6"/>
                <w:sz w:val="24"/>
                <w:szCs w:val="24"/>
              </w:rPr>
              <w:t>晰明确，无与项目无关，符合项目需求，得6分</w:t>
            </w:r>
            <w:r>
              <w:rPr>
                <w:rFonts w:hint="eastAsia"/>
                <w:spacing w:val="-6"/>
                <w:sz w:val="24"/>
                <w:szCs w:val="24"/>
                <w:lang w:eastAsia="zh-CN"/>
              </w:rPr>
              <w:t>。</w:t>
            </w:r>
          </w:p>
          <w:p w14:paraId="4D89F045">
            <w:pPr>
              <w:pStyle w:val="10"/>
              <w:keepNext w:val="0"/>
              <w:keepLines w:val="0"/>
              <w:pageBreakBefore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spacing w:val="-6"/>
                <w:sz w:val="24"/>
                <w:szCs w:val="24"/>
              </w:rPr>
            </w:pPr>
            <w:r>
              <w:rPr>
                <w:rFonts w:hint="eastAsia"/>
                <w:spacing w:val="-6"/>
                <w:sz w:val="24"/>
                <w:szCs w:val="24"/>
              </w:rPr>
              <w:t>方案有明显的欠缺，针对性较差得1-4分。</w:t>
            </w:r>
          </w:p>
          <w:p w14:paraId="0171E8F4">
            <w:pPr>
              <w:pStyle w:val="10"/>
              <w:keepNext w:val="0"/>
              <w:keepLines w:val="0"/>
              <w:pageBreakBefore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Theme="minorEastAsia"/>
                <w:szCs w:val="21"/>
                <w:lang w:val="en-US" w:eastAsia="zh-CN"/>
              </w:rPr>
            </w:pPr>
            <w:r>
              <w:rPr>
                <w:rFonts w:hint="eastAsia"/>
                <w:spacing w:val="-6"/>
                <w:sz w:val="24"/>
                <w:szCs w:val="24"/>
              </w:rPr>
              <w:t>方案完全不满足不得分。</w:t>
            </w:r>
          </w:p>
          <w:p w14:paraId="0F24F868">
            <w:pPr>
              <w:pStyle w:val="10"/>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0" w:firstLineChars="0"/>
              <w:textAlignment w:val="auto"/>
              <w:rPr>
                <w:rFonts w:hint="eastAsia"/>
                <w:spacing w:val="-6"/>
                <w:sz w:val="24"/>
                <w:szCs w:val="24"/>
              </w:rPr>
            </w:pPr>
            <w:r>
              <w:rPr>
                <w:rFonts w:hint="eastAsia"/>
                <w:spacing w:val="-6"/>
                <w:sz w:val="24"/>
                <w:szCs w:val="24"/>
              </w:rPr>
              <w:t>针对</w:t>
            </w:r>
            <w:r>
              <w:rPr>
                <w:rFonts w:hint="eastAsia"/>
                <w:spacing w:val="-6"/>
                <w:sz w:val="24"/>
                <w:szCs w:val="24"/>
                <w:lang w:val="en-US" w:eastAsia="zh-CN"/>
              </w:rPr>
              <w:t>实施</w:t>
            </w:r>
            <w:r>
              <w:rPr>
                <w:rFonts w:hint="eastAsia"/>
                <w:spacing w:val="-6"/>
                <w:sz w:val="24"/>
                <w:szCs w:val="24"/>
              </w:rPr>
              <w:t>过程存在的风险点提出10条风险控制策略，以及针对实施过程的商业秘密和技术秘密提出10条保密措施策略。</w:t>
            </w:r>
          </w:p>
          <w:p w14:paraId="5E9A1DA4">
            <w:pPr>
              <w:pStyle w:val="10"/>
              <w:keepNext w:val="0"/>
              <w:keepLines w:val="0"/>
              <w:pageBreakBefore w:val="0"/>
              <w:numPr>
                <w:ilvl w:val="0"/>
                <w:numId w:val="5"/>
              </w:numPr>
              <w:kinsoku/>
              <w:wordWrap/>
              <w:overflowPunct/>
              <w:topLinePunct w:val="0"/>
              <w:autoSpaceDE/>
              <w:autoSpaceDN/>
              <w:bidi w:val="0"/>
              <w:adjustRightInd/>
              <w:snapToGrid/>
              <w:spacing w:line="360" w:lineRule="exact"/>
              <w:ind w:leftChars="0"/>
              <w:textAlignment w:val="auto"/>
              <w:rPr>
                <w:rFonts w:hint="eastAsia"/>
                <w:spacing w:val="-6"/>
                <w:sz w:val="24"/>
                <w:szCs w:val="24"/>
                <w:lang w:eastAsia="zh-CN"/>
              </w:rPr>
            </w:pPr>
            <w:r>
              <w:rPr>
                <w:rFonts w:hint="eastAsia"/>
                <w:spacing w:val="-6"/>
                <w:sz w:val="24"/>
                <w:szCs w:val="24"/>
              </w:rPr>
              <w:t>提供的策略措施可落地施行的，得10分</w:t>
            </w:r>
            <w:r>
              <w:rPr>
                <w:rFonts w:hint="eastAsia"/>
                <w:spacing w:val="-6"/>
                <w:sz w:val="24"/>
                <w:szCs w:val="24"/>
                <w:lang w:eastAsia="zh-CN"/>
              </w:rPr>
              <w:t>。</w:t>
            </w:r>
          </w:p>
          <w:p w14:paraId="3CFDEE51">
            <w:pPr>
              <w:pStyle w:val="10"/>
              <w:keepNext w:val="0"/>
              <w:keepLines w:val="0"/>
              <w:pageBreakBefore w:val="0"/>
              <w:numPr>
                <w:ilvl w:val="0"/>
                <w:numId w:val="5"/>
              </w:numPr>
              <w:kinsoku/>
              <w:wordWrap/>
              <w:overflowPunct/>
              <w:topLinePunct w:val="0"/>
              <w:autoSpaceDE/>
              <w:autoSpaceDN/>
              <w:bidi w:val="0"/>
              <w:adjustRightInd/>
              <w:snapToGrid/>
              <w:spacing w:line="360" w:lineRule="exact"/>
              <w:ind w:leftChars="0"/>
              <w:textAlignment w:val="auto"/>
              <w:rPr>
                <w:rFonts w:hint="eastAsia" w:ascii="宋体" w:hAnsi="宋体" w:eastAsiaTheme="minorEastAsia"/>
                <w:szCs w:val="21"/>
                <w:lang w:val="en-US" w:eastAsia="zh-CN"/>
              </w:rPr>
            </w:pPr>
            <w:r>
              <w:rPr>
                <w:rFonts w:hint="eastAsia"/>
                <w:spacing w:val="-6"/>
                <w:sz w:val="24"/>
                <w:szCs w:val="24"/>
              </w:rPr>
              <w:t>提供的策略措施内容存在1处瑕疵，</w:t>
            </w:r>
            <w:r>
              <w:rPr>
                <w:rFonts w:hint="eastAsia"/>
                <w:spacing w:val="-6"/>
                <w:sz w:val="24"/>
                <w:szCs w:val="24"/>
                <w:lang w:val="en-US" w:eastAsia="zh-CN"/>
              </w:rPr>
              <w:t>得</w:t>
            </w:r>
            <w:r>
              <w:rPr>
                <w:rFonts w:hint="eastAsia"/>
                <w:spacing w:val="-6"/>
                <w:sz w:val="24"/>
                <w:szCs w:val="24"/>
              </w:rPr>
              <w:t>5分。</w:t>
            </w:r>
          </w:p>
          <w:p w14:paraId="3E6A6A2E">
            <w:pPr>
              <w:pStyle w:val="10"/>
              <w:keepNext w:val="0"/>
              <w:keepLines w:val="0"/>
              <w:pageBreakBefore w:val="0"/>
              <w:numPr>
                <w:ilvl w:val="0"/>
                <w:numId w:val="5"/>
              </w:numPr>
              <w:kinsoku/>
              <w:wordWrap/>
              <w:overflowPunct/>
              <w:topLinePunct w:val="0"/>
              <w:autoSpaceDE/>
              <w:autoSpaceDN/>
              <w:bidi w:val="0"/>
              <w:adjustRightInd/>
              <w:snapToGrid/>
              <w:spacing w:line="360" w:lineRule="exact"/>
              <w:ind w:leftChars="0"/>
              <w:textAlignment w:val="auto"/>
              <w:rPr>
                <w:rFonts w:hint="eastAsia" w:ascii="宋体" w:hAnsi="宋体" w:eastAsiaTheme="minorEastAsia"/>
                <w:szCs w:val="21"/>
                <w:lang w:val="en-US" w:eastAsia="zh-CN"/>
              </w:rPr>
            </w:pPr>
            <w:r>
              <w:rPr>
                <w:rFonts w:hint="eastAsia"/>
                <w:spacing w:val="-6"/>
                <w:sz w:val="24"/>
                <w:szCs w:val="24"/>
              </w:rPr>
              <w:t>未提供方案或不满足招标文件要求或存在2处及以上</w:t>
            </w:r>
            <w:r>
              <w:rPr>
                <w:rFonts w:hint="eastAsia"/>
                <w:spacing w:val="-6"/>
                <w:sz w:val="24"/>
                <w:szCs w:val="24"/>
                <w:lang w:val="en-US" w:eastAsia="zh-CN"/>
              </w:rPr>
              <w:t>瑕疵</w:t>
            </w:r>
            <w:r>
              <w:rPr>
                <w:rFonts w:hint="eastAsia"/>
                <w:spacing w:val="-6"/>
                <w:sz w:val="24"/>
                <w:szCs w:val="24"/>
              </w:rPr>
              <w:t>，得0分。</w:t>
            </w:r>
          </w:p>
          <w:p w14:paraId="78123276">
            <w:pPr>
              <w:pStyle w:val="10"/>
              <w:numPr>
                <w:ilvl w:val="0"/>
                <w:numId w:val="0"/>
              </w:numPr>
              <w:spacing w:line="360" w:lineRule="auto"/>
              <w:rPr>
                <w:rFonts w:hint="eastAsia" w:ascii="宋体" w:hAnsi="宋体" w:eastAsiaTheme="minorEastAsia"/>
                <w:szCs w:val="21"/>
                <w:lang w:val="en-US" w:eastAsia="zh-CN"/>
              </w:rPr>
            </w:pPr>
            <w:r>
              <w:rPr>
                <w:rFonts w:hint="eastAsia" w:ascii="宋体" w:hAnsi="宋体" w:eastAsiaTheme="minorEastAsia"/>
                <w:szCs w:val="21"/>
                <w:lang w:val="en-US" w:eastAsia="zh-CN"/>
              </w:rPr>
              <w:t>注:本项所称“瑕疵”是指存在内容缺项、不完整或缺失关键点</w:t>
            </w:r>
            <w:r>
              <w:rPr>
                <w:rFonts w:hint="eastAsia" w:ascii="宋体" w:hAnsi="宋体"/>
                <w:szCs w:val="21"/>
                <w:lang w:val="en-US" w:eastAsia="zh-CN"/>
              </w:rPr>
              <w:t>；</w:t>
            </w:r>
            <w:r>
              <w:rPr>
                <w:rFonts w:hint="eastAsia" w:ascii="宋体" w:hAnsi="宋体" w:eastAsiaTheme="minorEastAsia"/>
                <w:szCs w:val="21"/>
                <w:lang w:val="en-US" w:eastAsia="zh-CN"/>
              </w:rPr>
              <w:t>内容与本项目需求不符</w:t>
            </w:r>
            <w:r>
              <w:rPr>
                <w:rFonts w:hint="eastAsia" w:ascii="宋体" w:hAnsi="宋体"/>
                <w:szCs w:val="21"/>
                <w:lang w:val="en-US" w:eastAsia="zh-CN"/>
              </w:rPr>
              <w:t>；</w:t>
            </w:r>
            <w:r>
              <w:rPr>
                <w:rFonts w:hint="eastAsia" w:ascii="宋体" w:hAnsi="宋体" w:eastAsiaTheme="minorEastAsia"/>
                <w:szCs w:val="21"/>
                <w:lang w:val="en-US" w:eastAsia="zh-CN"/>
              </w:rPr>
              <w:t>对同一问题前后表述矛盾</w:t>
            </w:r>
            <w:r>
              <w:rPr>
                <w:rFonts w:hint="eastAsia" w:ascii="宋体" w:hAnsi="宋体"/>
                <w:szCs w:val="21"/>
                <w:lang w:val="en-US" w:eastAsia="zh-CN"/>
              </w:rPr>
              <w:t>：</w:t>
            </w:r>
            <w:r>
              <w:rPr>
                <w:rFonts w:hint="eastAsia" w:ascii="宋体" w:hAnsi="宋体" w:eastAsiaTheme="minorEastAsia"/>
                <w:szCs w:val="21"/>
                <w:lang w:val="en-US" w:eastAsia="zh-CN"/>
              </w:rPr>
              <w:t>存在逻辑漏洞、科学原理或常识错误</w:t>
            </w:r>
            <w:r>
              <w:rPr>
                <w:rFonts w:hint="eastAsia" w:ascii="宋体" w:hAnsi="宋体"/>
                <w:szCs w:val="21"/>
                <w:lang w:val="en-US" w:eastAsia="zh-CN"/>
              </w:rPr>
              <w:t>；</w:t>
            </w:r>
            <w:r>
              <w:rPr>
                <w:rFonts w:hint="eastAsia" w:ascii="宋体" w:hAnsi="宋体" w:eastAsiaTheme="minorEastAsia"/>
                <w:szCs w:val="21"/>
                <w:lang w:val="en-US" w:eastAsia="zh-CN"/>
              </w:rPr>
              <w:t>现有国内技术条件下不可能出现的情形等任意一种情形。</w:t>
            </w:r>
          </w:p>
        </w:tc>
      </w:tr>
      <w:tr w14:paraId="013B8A27">
        <w:tblPrEx>
          <w:tblCellMar>
            <w:top w:w="0" w:type="dxa"/>
            <w:left w:w="108" w:type="dxa"/>
            <w:bottom w:w="0" w:type="dxa"/>
            <w:right w:w="108" w:type="dxa"/>
          </w:tblCellMar>
        </w:tblPrEx>
        <w:trPr>
          <w:trHeight w:val="4944" w:hRule="atLeast"/>
          <w:jc w:val="center"/>
        </w:trPr>
        <w:tc>
          <w:tcPr>
            <w:tcW w:w="1099" w:type="dxa"/>
            <w:vMerge w:val="continue"/>
            <w:tcBorders>
              <w:left w:val="single" w:color="auto" w:sz="4" w:space="0"/>
              <w:right w:val="single" w:color="auto" w:sz="4" w:space="0"/>
            </w:tcBorders>
            <w:vAlign w:val="center"/>
          </w:tcPr>
          <w:p w14:paraId="2C762B3F">
            <w:pPr>
              <w:widowControl/>
              <w:wordWrap w:val="0"/>
              <w:spacing w:line="360" w:lineRule="auto"/>
              <w:jc w:val="left"/>
              <w:rPr>
                <w:rFonts w:hint="eastAsia" w:ascii="宋体" w:hAnsi="宋体" w:eastAsia="宋体" w:cs="宋体"/>
                <w:szCs w:val="21"/>
                <w:lang w:val="zh-TW" w:bidi="ar"/>
              </w:rPr>
            </w:pPr>
          </w:p>
        </w:tc>
        <w:tc>
          <w:tcPr>
            <w:tcW w:w="720" w:type="dxa"/>
            <w:tcBorders>
              <w:top w:val="single" w:color="auto" w:sz="4" w:space="0"/>
              <w:left w:val="nil"/>
              <w:bottom w:val="single" w:color="auto" w:sz="4" w:space="0"/>
              <w:right w:val="single" w:color="auto" w:sz="4" w:space="0"/>
            </w:tcBorders>
            <w:vAlign w:val="center"/>
          </w:tcPr>
          <w:p w14:paraId="59AA7D5C">
            <w:pPr>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0-5</w:t>
            </w:r>
          </w:p>
        </w:tc>
        <w:tc>
          <w:tcPr>
            <w:tcW w:w="7441" w:type="dxa"/>
            <w:tcBorders>
              <w:top w:val="single" w:color="auto" w:sz="4" w:space="0"/>
              <w:left w:val="nil"/>
              <w:bottom w:val="single" w:color="auto" w:sz="4" w:space="0"/>
              <w:right w:val="single" w:color="auto" w:sz="4" w:space="0"/>
            </w:tcBorders>
            <w:vAlign w:val="center"/>
          </w:tcPr>
          <w:p w14:paraId="66C7D5A0">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实施工具：</w:t>
            </w:r>
          </w:p>
          <w:p w14:paraId="6D74EACE">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1.管理工具：拥有自主知识产权或第三方购买（需要购买合同）的等保测评平台/系统，对项目管理、信息处理、数据分析、报告生成等进行规范作业(需提供加盖公章的功能界面截图)，得3分；没有不得分。</w:t>
            </w:r>
          </w:p>
          <w:p w14:paraId="7C1B0A4B">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2.测评过程使用的安全工具具备以下功能:</w:t>
            </w:r>
          </w:p>
          <w:p w14:paraId="4FB53F64">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（1）漏洞扫描；(2)可对操作系统、安全设备、网络设备、数据库进行自动化基线核查（自主知识产权或第三方购买（需要购买合同））的，提供相关证明材料和工具说明得2分。</w:t>
            </w:r>
          </w:p>
          <w:p w14:paraId="4DB3111C">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注:自主开发需要提供软件著作等证明材料的复印件或扫描件加盖投标供应商公章。</w:t>
            </w:r>
          </w:p>
        </w:tc>
      </w:tr>
      <w:tr w14:paraId="19F96DDB">
        <w:tblPrEx>
          <w:tblCellMar>
            <w:top w:w="0" w:type="dxa"/>
            <w:left w:w="108" w:type="dxa"/>
            <w:bottom w:w="0" w:type="dxa"/>
            <w:right w:w="108" w:type="dxa"/>
          </w:tblCellMar>
        </w:tblPrEx>
        <w:trPr>
          <w:trHeight w:val="6733" w:hRule="atLeast"/>
          <w:jc w:val="center"/>
        </w:trPr>
        <w:tc>
          <w:tcPr>
            <w:tcW w:w="1099" w:type="dxa"/>
            <w:vMerge w:val="continue"/>
            <w:tcBorders>
              <w:left w:val="single" w:color="auto" w:sz="4" w:space="0"/>
              <w:bottom w:val="single" w:color="auto" w:sz="4" w:space="0"/>
              <w:right w:val="single" w:color="auto" w:sz="4" w:space="0"/>
            </w:tcBorders>
            <w:vAlign w:val="center"/>
          </w:tcPr>
          <w:p w14:paraId="07582520">
            <w:pPr>
              <w:widowControl/>
              <w:wordWrap w:val="0"/>
              <w:spacing w:line="360" w:lineRule="auto"/>
              <w:jc w:val="left"/>
              <w:rPr>
                <w:rFonts w:hint="default" w:ascii="宋体" w:hAnsi="宋体" w:eastAsia="宋体" w:cs="宋体"/>
                <w:szCs w:val="21"/>
                <w:lang w:val="en-US" w:eastAsia="zh-CN" w:bidi="ar"/>
              </w:rPr>
            </w:pPr>
          </w:p>
        </w:tc>
        <w:tc>
          <w:tcPr>
            <w:tcW w:w="720" w:type="dxa"/>
            <w:tcBorders>
              <w:top w:val="single" w:color="auto" w:sz="4" w:space="0"/>
              <w:left w:val="nil"/>
              <w:bottom w:val="single" w:color="auto" w:sz="4" w:space="0"/>
              <w:right w:val="single" w:color="auto" w:sz="4" w:space="0"/>
            </w:tcBorders>
            <w:vAlign w:val="center"/>
          </w:tcPr>
          <w:p w14:paraId="338D4807">
            <w:pPr>
              <w:tabs>
                <w:tab w:val="center" w:pos="312"/>
                <w:tab w:val="left" w:pos="490"/>
              </w:tabs>
              <w:spacing w:line="360" w:lineRule="auto"/>
              <w:jc w:val="left"/>
              <w:rPr>
                <w:rFonts w:hint="default" w:ascii="宋体" w:hAnsi="宋体" w:eastAsia="宋体" w:cs="宋体"/>
                <w:bCs/>
                <w:szCs w:val="21"/>
                <w:lang w:val="en-US" w:eastAsia="zh-CN"/>
              </w:rPr>
            </w:pPr>
            <w:r>
              <w:rPr>
                <w:rFonts w:hint="eastAsia" w:ascii="宋体" w:hAnsi="宋体" w:eastAsia="宋体" w:cs="宋体"/>
                <w:bCs/>
                <w:szCs w:val="21"/>
                <w:lang w:eastAsia="zh-CN"/>
              </w:rPr>
              <w:tab/>
            </w:r>
            <w:r>
              <w:rPr>
                <w:rFonts w:hint="eastAsia" w:ascii="宋体" w:hAnsi="宋体" w:eastAsia="宋体" w:cs="宋体"/>
                <w:bCs/>
                <w:szCs w:val="21"/>
                <w:lang w:val="en-US" w:eastAsia="zh-CN"/>
              </w:rPr>
              <w:t>0-5</w:t>
            </w:r>
          </w:p>
        </w:tc>
        <w:tc>
          <w:tcPr>
            <w:tcW w:w="7441" w:type="dxa"/>
            <w:tcBorders>
              <w:top w:val="single" w:color="auto" w:sz="4" w:space="0"/>
              <w:left w:val="nil"/>
              <w:bottom w:val="single" w:color="auto" w:sz="4" w:space="0"/>
              <w:right w:val="single" w:color="auto" w:sz="4" w:space="0"/>
            </w:tcBorders>
            <w:vAlign w:val="center"/>
          </w:tcPr>
          <w:p w14:paraId="3576AE53">
            <w:pPr>
              <w:widowControl/>
              <w:numPr>
                <w:ilvl w:val="0"/>
                <w:numId w:val="6"/>
              </w:numPr>
              <w:wordWrap w:val="0"/>
              <w:spacing w:line="360" w:lineRule="auto"/>
              <w:jc w:val="left"/>
              <w:rPr>
                <w:rFonts w:hint="eastAsia" w:ascii="宋体" w:hAnsi="宋体" w:eastAsia="宋体" w:cs="宋体"/>
                <w:szCs w:val="21"/>
              </w:rPr>
            </w:pPr>
            <w:r>
              <w:rPr>
                <w:rFonts w:hint="eastAsia" w:ascii="宋体" w:hAnsi="宋体" w:eastAsia="宋体" w:cs="宋体"/>
                <w:szCs w:val="21"/>
              </w:rPr>
              <w:t>服务能力支撑:</w:t>
            </w:r>
          </w:p>
          <w:p w14:paraId="64F39244">
            <w:pPr>
              <w:widowControl/>
              <w:numPr>
                <w:ilvl w:val="0"/>
                <w:numId w:val="6"/>
              </w:numPr>
              <w:wordWrap w:val="0"/>
              <w:spacing w:line="360" w:lineRule="auto"/>
              <w:jc w:val="left"/>
              <w:rPr>
                <w:rFonts w:hint="eastAsia" w:ascii="宋体" w:hAnsi="宋体" w:eastAsia="宋体" w:cs="宋体"/>
                <w:szCs w:val="21"/>
              </w:rPr>
            </w:pPr>
            <w:r>
              <w:rPr>
                <w:rFonts w:hint="eastAsia" w:ascii="宋体" w:hAnsi="宋体" w:eastAsia="宋体" w:cs="宋体"/>
                <w:szCs w:val="21"/>
              </w:rPr>
              <w:t>1.在省内有分公司、子公司或办事处（提供营业执照或场地房租合同或产权合同）得2分。承诺中标后在省内建立分公司或办事处的，得1分。</w:t>
            </w:r>
          </w:p>
          <w:p w14:paraId="66064301">
            <w:pPr>
              <w:widowControl/>
              <w:numPr>
                <w:ilvl w:val="0"/>
                <w:numId w:val="6"/>
              </w:numPr>
              <w:wordWrap w:val="0"/>
              <w:spacing w:line="360" w:lineRule="auto"/>
              <w:jc w:val="left"/>
              <w:rPr>
                <w:rFonts w:hint="eastAsia" w:ascii="宋体" w:hAnsi="宋体" w:eastAsia="宋体" w:cs="宋体"/>
                <w:szCs w:val="21"/>
              </w:rPr>
            </w:pPr>
            <w:r>
              <w:rPr>
                <w:rFonts w:hint="eastAsia" w:ascii="宋体" w:hAnsi="宋体" w:eastAsia="宋体" w:cs="宋体"/>
                <w:szCs w:val="21"/>
              </w:rPr>
              <w:t>2.具备国家信息安全漏洞库(CNNVD)-技术支撑单位等级证书且服务到期后承诺提供半年的免费安全咨询服务（包括不限于应急支撑，等保、商用密码、数据安全等安全咨询服务），当发生网络安全事件时，承诺响应时问工作日在2小时到达，非工作日3小时到达，并提供详细服务方案，满足要求得1分。</w:t>
            </w:r>
          </w:p>
          <w:p w14:paraId="064052DE">
            <w:pPr>
              <w:widowControl/>
              <w:numPr>
                <w:ilvl w:val="0"/>
                <w:numId w:val="6"/>
              </w:numPr>
              <w:wordWrap w:val="0"/>
              <w:spacing w:line="360" w:lineRule="auto"/>
              <w:jc w:val="left"/>
              <w:rPr>
                <w:rFonts w:hint="eastAsia" w:ascii="宋体" w:hAnsi="宋体" w:eastAsia="宋体" w:cs="宋体"/>
                <w:szCs w:val="21"/>
              </w:rPr>
            </w:pPr>
            <w:r>
              <w:rPr>
                <w:rFonts w:hint="eastAsia" w:ascii="宋体" w:hAnsi="宋体" w:eastAsia="宋体" w:cs="宋体"/>
                <w:szCs w:val="21"/>
              </w:rPr>
              <w:t>入选省级及以上网络安全应急技术支撑单位名单的，得2分，提供相关证明资料。</w:t>
            </w:r>
          </w:p>
        </w:tc>
      </w:tr>
    </w:tbl>
    <w:p w14:paraId="3DAEE13B">
      <w:pPr>
        <w:spacing w:line="720" w:lineRule="auto"/>
        <w:rPr>
          <w:rFonts w:hint="eastAsia" w:ascii="宋体" w:hAnsi="宋体" w:eastAsia="宋体" w:cs="宋体"/>
          <w:b/>
          <w:bCs/>
          <w:sz w:val="28"/>
          <w:szCs w:val="28"/>
          <w:lang w:val="en-US" w:eastAsia="zh-CN"/>
        </w:rPr>
      </w:pPr>
    </w:p>
    <w:p w14:paraId="5806F865">
      <w:pPr>
        <w:spacing w:line="720" w:lineRule="auto"/>
        <w:rPr>
          <w:rFonts w:hint="eastAsia" w:ascii="宋体" w:hAnsi="宋体" w:eastAsia="宋体" w:cs="宋体"/>
          <w:b/>
          <w:bCs/>
          <w:sz w:val="28"/>
          <w:szCs w:val="28"/>
          <w:lang w:val="en-US" w:eastAsia="zh-CN"/>
        </w:rPr>
      </w:pPr>
    </w:p>
    <w:p w14:paraId="05A8A125">
      <w:pPr>
        <w:spacing w:line="72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商务分</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0分）</w:t>
      </w:r>
    </w:p>
    <w:tbl>
      <w:tblPr>
        <w:tblStyle w:val="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977"/>
        <w:gridCol w:w="6936"/>
      </w:tblGrid>
      <w:tr w14:paraId="262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39" w:type="dxa"/>
            <w:vAlign w:val="center"/>
          </w:tcPr>
          <w:p w14:paraId="313ACAD4">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评分项目</w:t>
            </w:r>
          </w:p>
        </w:tc>
        <w:tc>
          <w:tcPr>
            <w:tcW w:w="977" w:type="dxa"/>
            <w:vAlign w:val="center"/>
          </w:tcPr>
          <w:p w14:paraId="3783FE4F">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分值</w:t>
            </w:r>
          </w:p>
        </w:tc>
        <w:tc>
          <w:tcPr>
            <w:tcW w:w="6936" w:type="dxa"/>
            <w:vAlign w:val="center"/>
          </w:tcPr>
          <w:p w14:paraId="5DBFE7A0">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评分标准</w:t>
            </w:r>
          </w:p>
        </w:tc>
      </w:tr>
      <w:tr w14:paraId="2667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Merge w:val="restart"/>
            <w:vAlign w:val="center"/>
          </w:tcPr>
          <w:p w14:paraId="14CAB0FD">
            <w:pPr>
              <w:widowControl/>
              <w:spacing w:line="360" w:lineRule="auto"/>
              <w:rPr>
                <w:rFonts w:hint="eastAsia" w:ascii="宋体" w:hAnsi="宋体" w:eastAsia="宋体" w:cs="宋体"/>
                <w:bCs/>
                <w:sz w:val="24"/>
                <w:lang w:val="en-US" w:eastAsia="zh-CN"/>
              </w:rPr>
            </w:pPr>
            <w:r>
              <w:rPr>
                <w:rFonts w:hint="eastAsia" w:ascii="宋体" w:hAnsi="宋体" w:eastAsia="宋体" w:cs="宋体"/>
                <w:bCs/>
                <w:sz w:val="24"/>
                <w:lang w:val="en-US" w:eastAsia="zh-CN"/>
              </w:rPr>
              <w:t>商务分</w:t>
            </w:r>
          </w:p>
          <w:p w14:paraId="4EAC0D89">
            <w:pPr>
              <w:widowControl/>
              <w:spacing w:line="360" w:lineRule="auto"/>
              <w:rPr>
                <w:rFonts w:hint="default" w:ascii="宋体" w:hAnsi="宋体" w:eastAsia="宋体" w:cs="宋体"/>
                <w:bCs/>
                <w:sz w:val="24"/>
                <w:lang w:val="en-US" w:eastAsia="zh-CN"/>
              </w:rPr>
            </w:pPr>
            <w:r>
              <w:rPr>
                <w:rFonts w:hint="eastAsia" w:ascii="宋体" w:hAnsi="宋体" w:eastAsia="宋体" w:cs="宋体"/>
                <w:bCs/>
                <w:sz w:val="24"/>
                <w:lang w:val="en-US" w:eastAsia="zh-CN"/>
              </w:rPr>
              <w:t>（50分）</w:t>
            </w:r>
          </w:p>
        </w:tc>
        <w:tc>
          <w:tcPr>
            <w:tcW w:w="977" w:type="dxa"/>
            <w:vAlign w:val="center"/>
          </w:tcPr>
          <w:p w14:paraId="54235ECC">
            <w:pPr>
              <w:widowControl/>
              <w:spacing w:line="360" w:lineRule="auto"/>
              <w:jc w:val="center"/>
              <w:rPr>
                <w:rFonts w:hint="default"/>
                <w:lang w:val="en-US" w:eastAsia="zh-CN"/>
              </w:rPr>
            </w:pPr>
            <w:r>
              <w:rPr>
                <w:rFonts w:hint="eastAsia"/>
                <w:lang w:val="en-US" w:eastAsia="zh-CN"/>
              </w:rPr>
              <w:t>0-25分</w:t>
            </w:r>
          </w:p>
        </w:tc>
        <w:tc>
          <w:tcPr>
            <w:tcW w:w="6936" w:type="dxa"/>
            <w:vAlign w:val="center"/>
          </w:tcPr>
          <w:p w14:paraId="6E423D27">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资质及能力：</w:t>
            </w:r>
          </w:p>
          <w:p w14:paraId="3D8A31AD">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1.供应商具有中国合格评定国家认可委员会颁发的检验机构认可证书CNAS得3分；</w:t>
            </w:r>
          </w:p>
          <w:p w14:paraId="5DA4BF95">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2.供应商具备国家 认监委认定的认证机构颁发的有效的检验检测机资质认定（CMA)证书，得3分；</w:t>
            </w:r>
          </w:p>
          <w:p w14:paraId="13B9B6DD">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3.供应商具备有效的中国计算机行业协会数据安全专业委员会和中国软件评测中心颁发的《数据安全服务能力评定资格证书（数据安全评估）》，二级及以上得3分；</w:t>
            </w:r>
          </w:p>
          <w:p w14:paraId="19C54CD3">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4.供应商具备企业知识产权管理体系认证（认证范围包括等级保护测评）得3分；</w:t>
            </w:r>
          </w:p>
          <w:p w14:paraId="77DF2EB1">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5.供应商具备中国网安全审查技术与认证中心发的信息安全风险评估资认证证书（二级及以上），得3分；</w:t>
            </w:r>
          </w:p>
          <w:p w14:paraId="587755A8">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6.供应商具备CMMI三级及以上证书，得3分；</w:t>
            </w:r>
          </w:p>
          <w:p w14:paraId="41E52A4F">
            <w:pPr>
              <w:widowControl/>
              <w:numPr>
                <w:ilvl w:val="0"/>
                <w:numId w:val="7"/>
              </w:numPr>
              <w:wordWrap w:val="0"/>
              <w:spacing w:line="360" w:lineRule="auto"/>
              <w:jc w:val="left"/>
              <w:rPr>
                <w:rFonts w:hint="eastAsia"/>
                <w:b w:val="0"/>
                <w:bCs w:val="0"/>
                <w:sz w:val="24"/>
                <w:szCs w:val="24"/>
              </w:rPr>
            </w:pPr>
            <w:r>
              <w:rPr>
                <w:rFonts w:hint="eastAsia"/>
                <w:b w:val="0"/>
                <w:bCs w:val="0"/>
                <w:sz w:val="24"/>
                <w:szCs w:val="24"/>
              </w:rPr>
              <w:t>7.供应商参与过不少于2次等保、密码安全、数据安企等标准（国家、行业、团体、省级等），提供相关证明材料，得3分；</w:t>
            </w:r>
          </w:p>
          <w:p w14:paraId="50BFD431">
            <w:pPr>
              <w:widowControl/>
              <w:numPr>
                <w:ilvl w:val="0"/>
                <w:numId w:val="7"/>
              </w:numPr>
              <w:wordWrap w:val="0"/>
              <w:spacing w:line="360" w:lineRule="auto"/>
              <w:jc w:val="left"/>
              <w:rPr>
                <w:rFonts w:hint="eastAsia"/>
                <w:b/>
                <w:bCs/>
                <w:sz w:val="24"/>
                <w:szCs w:val="24"/>
              </w:rPr>
            </w:pPr>
            <w:r>
              <w:rPr>
                <w:rFonts w:hint="eastAsia"/>
                <w:b w:val="0"/>
                <w:bCs w:val="0"/>
                <w:sz w:val="24"/>
                <w:szCs w:val="24"/>
              </w:rPr>
              <w:t>具有有效的 IS0质量管理体系认证证书、具有有效的 ISO职业健康安全管理体系认证证书、具有有效的ISO信息安全管理体系认证证书、具有有效的ISO信息技术服务管理体系认证证书，每提一个有效的管理体系认证证书的得1分，最高得4分。</w:t>
            </w:r>
          </w:p>
        </w:tc>
      </w:tr>
      <w:tr w14:paraId="10AD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Merge w:val="continue"/>
            <w:vAlign w:val="center"/>
          </w:tcPr>
          <w:p w14:paraId="23D02F1B">
            <w:pPr>
              <w:widowControl/>
              <w:spacing w:line="360" w:lineRule="auto"/>
              <w:rPr>
                <w:rFonts w:hint="eastAsia" w:ascii="宋体" w:hAnsi="宋体" w:eastAsia="宋体" w:cs="宋体"/>
                <w:bCs/>
                <w:sz w:val="24"/>
              </w:rPr>
            </w:pPr>
          </w:p>
        </w:tc>
        <w:tc>
          <w:tcPr>
            <w:tcW w:w="977" w:type="dxa"/>
            <w:vAlign w:val="center"/>
          </w:tcPr>
          <w:p w14:paraId="4230B8D3">
            <w:pPr>
              <w:widowControl/>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0-20分</w:t>
            </w:r>
          </w:p>
        </w:tc>
        <w:tc>
          <w:tcPr>
            <w:tcW w:w="6936" w:type="dxa"/>
            <w:vAlign w:val="center"/>
          </w:tcPr>
          <w:p w14:paraId="2F6CBCF9">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人员具备资质及能力:</w:t>
            </w:r>
          </w:p>
          <w:p w14:paraId="0FBAE492">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1.项目负责人（1人）：具备高级测评师得2分；具备CISSP证书得2分；信息安全保障人员认证证书（CISAW）得1分；具备数据安全官证书（CCRC-DS0）得1分；具备CCRC信息系统审计师证书/ISA得1分；具备内审员资格证得1分，本项满分8分。</w:t>
            </w:r>
          </w:p>
          <w:p w14:paraId="02B9E81C">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2.技术负责人（1人，不得与项目负责人重复）具备高级测评师得2分；具备信息安全保障人员认证证书（CISAW）证书得1分；具备数据安全官证书（CCRC-DS0）得1分；具备CCRC 信息系统审计师证书/ISA得1分，本项满分5分。</w:t>
            </w:r>
          </w:p>
          <w:p w14:paraId="0C116D15">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3.质控管理人员（1人，不得与项目负责人重复）具备中级及以上测评师证书得1分；具有CNCA内部审核员证书得1分；具备数据安全官证书（CCRC-DSO）得1分；具备CCRC信息系统审计师证书/ISA得1分，本项满分4分。</w:t>
            </w:r>
          </w:p>
          <w:p w14:paraId="7305231D">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4.其他项目成员（不与项目负责人、技术顾问、质控管理人员重复）:</w:t>
            </w:r>
          </w:p>
          <w:p w14:paraId="0B2DC077">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（1）项目成员中同时具有网络安全等级测评师证书、信息安全保障人员认证证书（CISA）、注册信息专业人员（CISP)人数在3名及以上，得2分，人员2名及以下不得分;</w:t>
            </w:r>
          </w:p>
          <w:p w14:paraId="3EE48B9F">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（2）项目成员中同时具备注册网络安全渗透评专业人员（NSATP-A）和初级及以上测评师证书人数在2名及以上，得1分;2名以下不得分。</w:t>
            </w:r>
          </w:p>
          <w:p w14:paraId="31042475">
            <w:pPr>
              <w:widowControl/>
              <w:wordWrap w:val="0"/>
              <w:spacing w:line="360" w:lineRule="auto"/>
              <w:ind w:firstLine="480" w:firstLineChars="200"/>
              <w:jc w:val="left"/>
              <w:rPr>
                <w:rFonts w:hint="default" w:eastAsiaTheme="minorEastAsia"/>
                <w:sz w:val="24"/>
                <w:szCs w:val="24"/>
                <w:lang w:val="en-US" w:eastAsia="zh-CN"/>
              </w:rPr>
            </w:pPr>
            <w:r>
              <w:rPr>
                <w:rFonts w:hint="default" w:eastAsiaTheme="minorEastAsia"/>
                <w:sz w:val="24"/>
                <w:szCs w:val="24"/>
                <w:lang w:val="en-US" w:eastAsia="zh-CN"/>
              </w:rPr>
              <w:t>注：以上人员不能重复，提供人员身份证复印件、资质证书、2024年以来任意连续三个月在供应商单位的社保缴费证明，加盖供应商公章。如人员无身份证件、资质证书、供应商为其缴纳社保的证明，则该人员不做计分</w:t>
            </w:r>
          </w:p>
        </w:tc>
      </w:tr>
      <w:tr w14:paraId="09C8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Merge w:val="continue"/>
            <w:vAlign w:val="center"/>
          </w:tcPr>
          <w:p w14:paraId="4C824B0E">
            <w:pPr>
              <w:widowControl/>
              <w:spacing w:line="360" w:lineRule="auto"/>
              <w:rPr>
                <w:rFonts w:hint="eastAsia" w:ascii="宋体" w:hAnsi="宋体" w:eastAsia="宋体" w:cs="宋体"/>
                <w:bCs/>
                <w:sz w:val="24"/>
              </w:rPr>
            </w:pPr>
          </w:p>
        </w:tc>
        <w:tc>
          <w:tcPr>
            <w:tcW w:w="977" w:type="dxa"/>
            <w:vAlign w:val="center"/>
          </w:tcPr>
          <w:p w14:paraId="4C24F5BA">
            <w:pPr>
              <w:widowControl/>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0-5</w:t>
            </w:r>
          </w:p>
        </w:tc>
        <w:tc>
          <w:tcPr>
            <w:tcW w:w="6936" w:type="dxa"/>
            <w:vAlign w:val="center"/>
          </w:tcPr>
          <w:p w14:paraId="3810C138">
            <w:pPr>
              <w:widowControl/>
              <w:wordWrap w:val="0"/>
              <w:spacing w:line="360" w:lineRule="auto"/>
              <w:jc w:val="left"/>
              <w:rPr>
                <w:rFonts w:hint="eastAsia"/>
                <w:spacing w:val="-5"/>
                <w:sz w:val="24"/>
                <w:szCs w:val="24"/>
              </w:rPr>
            </w:pPr>
            <w:r>
              <w:rPr>
                <w:rFonts w:hint="eastAsia"/>
                <w:spacing w:val="-5"/>
                <w:sz w:val="24"/>
                <w:szCs w:val="24"/>
              </w:rPr>
              <w:t>相关案例：</w:t>
            </w:r>
          </w:p>
          <w:p w14:paraId="0D29AE55">
            <w:pPr>
              <w:widowControl/>
              <w:wordWrap w:val="0"/>
              <w:spacing w:line="360" w:lineRule="auto"/>
              <w:jc w:val="left"/>
              <w:rPr>
                <w:rFonts w:hint="eastAsia"/>
                <w:spacing w:val="-5"/>
                <w:sz w:val="24"/>
                <w:szCs w:val="24"/>
              </w:rPr>
            </w:pPr>
            <w:r>
              <w:rPr>
                <w:rFonts w:hint="eastAsia"/>
                <w:spacing w:val="-5"/>
                <w:sz w:val="24"/>
                <w:szCs w:val="24"/>
              </w:rPr>
              <w:t>2022年1月1日至投标截止日期止供应商完成过等保测评服务成功案例，每提供1个等保测评服务成功案例得1分，最高5分，本项满分5分。</w:t>
            </w:r>
          </w:p>
          <w:p w14:paraId="13891196">
            <w:pPr>
              <w:widowControl/>
              <w:wordWrap w:val="0"/>
              <w:spacing w:line="360" w:lineRule="auto"/>
              <w:jc w:val="left"/>
              <w:rPr>
                <w:spacing w:val="-5"/>
                <w:sz w:val="24"/>
                <w:szCs w:val="24"/>
              </w:rPr>
            </w:pPr>
            <w:r>
              <w:rPr>
                <w:rFonts w:hint="eastAsia"/>
                <w:spacing w:val="-5"/>
                <w:sz w:val="24"/>
                <w:szCs w:val="24"/>
              </w:rPr>
              <w:t>提供以合同关键页（包括双方盖章、合同金额、签约时间、采购内容）复印件为准，不重复计分。</w:t>
            </w:r>
            <w:bookmarkStart w:id="9" w:name="_GoBack"/>
            <w:bookmarkEnd w:id="9"/>
          </w:p>
        </w:tc>
      </w:tr>
    </w:tbl>
    <w:p w14:paraId="12A51A0D">
      <w:pPr>
        <w:rPr>
          <w:rFonts w:hint="eastAsia" w:ascii="宋体" w:hAnsi="宋体" w:eastAsia="宋体" w:cs="宋体"/>
          <w:color w:val="D80202"/>
          <w:sz w:val="34"/>
          <w:szCs w:val="34"/>
          <w:shd w:val="clear" w:color="auto" w:fill="FFFFFF"/>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EF67"/>
    <w:multiLevelType w:val="singleLevel"/>
    <w:tmpl w:val="9C69EF67"/>
    <w:lvl w:ilvl="0" w:tentative="0">
      <w:start w:val="1"/>
      <w:numFmt w:val="decimal"/>
      <w:lvlText w:val="%1."/>
      <w:lvlJc w:val="left"/>
      <w:pPr>
        <w:tabs>
          <w:tab w:val="left" w:pos="312"/>
        </w:tabs>
      </w:pPr>
    </w:lvl>
  </w:abstractNum>
  <w:abstractNum w:abstractNumId="1">
    <w:nsid w:val="BA0D0E43"/>
    <w:multiLevelType w:val="singleLevel"/>
    <w:tmpl w:val="BA0D0E43"/>
    <w:lvl w:ilvl="0" w:tentative="0">
      <w:start w:val="1"/>
      <w:numFmt w:val="decimal"/>
      <w:lvlText w:val="%1."/>
      <w:lvlJc w:val="left"/>
      <w:pPr>
        <w:tabs>
          <w:tab w:val="left" w:pos="312"/>
        </w:tabs>
      </w:pPr>
    </w:lvl>
  </w:abstractNum>
  <w:abstractNum w:abstractNumId="2">
    <w:nsid w:val="29A60126"/>
    <w:multiLevelType w:val="singleLevel"/>
    <w:tmpl w:val="29A60126"/>
    <w:lvl w:ilvl="0" w:tentative="0">
      <w:start w:val="1"/>
      <w:numFmt w:val="decimal"/>
      <w:lvlText w:val="%1."/>
      <w:lvlJc w:val="left"/>
      <w:pPr>
        <w:tabs>
          <w:tab w:val="left" w:pos="312"/>
        </w:tabs>
      </w:pPr>
    </w:lvl>
  </w:abstractNum>
  <w:abstractNum w:abstractNumId="3">
    <w:nsid w:val="2B42459A"/>
    <w:multiLevelType w:val="singleLevel"/>
    <w:tmpl w:val="2B42459A"/>
    <w:lvl w:ilvl="0" w:tentative="0">
      <w:start w:val="1"/>
      <w:numFmt w:val="chineseCounting"/>
      <w:suff w:val="nothing"/>
      <w:lvlText w:val="（%1）"/>
      <w:lvlJc w:val="left"/>
      <w:rPr>
        <w:rFonts w:hint="eastAsia"/>
      </w:rPr>
    </w:lvl>
  </w:abstractNum>
  <w:abstractNum w:abstractNumId="4">
    <w:nsid w:val="4787D403"/>
    <w:multiLevelType w:val="singleLevel"/>
    <w:tmpl w:val="4787D403"/>
    <w:lvl w:ilvl="0" w:tentative="0">
      <w:start w:val="1"/>
      <w:numFmt w:val="decimal"/>
      <w:lvlText w:val="%1."/>
      <w:lvlJc w:val="left"/>
      <w:pPr>
        <w:tabs>
          <w:tab w:val="left" w:pos="312"/>
        </w:tabs>
      </w:pPr>
    </w:lvl>
  </w:abstractNum>
  <w:abstractNum w:abstractNumId="5">
    <w:nsid w:val="64C65CD3"/>
    <w:multiLevelType w:val="multilevel"/>
    <w:tmpl w:val="64C65CD3"/>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pStyle w:val="2"/>
      <w:suff w:val="space"/>
      <w:lvlText w:val="%1.%2.%3."/>
      <w:lvlJc w:val="left"/>
      <w:pPr>
        <w:ind w:left="635"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6501550D"/>
    <w:multiLevelType w:val="singleLevel"/>
    <w:tmpl w:val="6501550D"/>
    <w:lvl w:ilvl="0" w:tentative="0">
      <w:start w:val="1"/>
      <w:numFmt w:val="decimal"/>
      <w:lvlText w:val="%1."/>
      <w:lvlJc w:val="left"/>
      <w:pPr>
        <w:tabs>
          <w:tab w:val="left" w:pos="312"/>
        </w:tabs>
      </w:pPr>
    </w:lvl>
  </w:abstractNum>
  <w:num w:numId="1">
    <w:abstractNumId w:val="5"/>
  </w:num>
  <w:num w:numId="2">
    <w:abstractNumId w:val="3"/>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MzExNDQwYmQ3Y2IzNTRmZWUyYWI0ODJiODliNmQifQ=="/>
  </w:docVars>
  <w:rsids>
    <w:rsidRoot w:val="004C2224"/>
    <w:rsid w:val="00053485"/>
    <w:rsid w:val="0008265B"/>
    <w:rsid w:val="0041204E"/>
    <w:rsid w:val="004C2224"/>
    <w:rsid w:val="00605CE0"/>
    <w:rsid w:val="006323A9"/>
    <w:rsid w:val="00737AD4"/>
    <w:rsid w:val="00866E6D"/>
    <w:rsid w:val="00872B4A"/>
    <w:rsid w:val="008A36F9"/>
    <w:rsid w:val="008A3742"/>
    <w:rsid w:val="009758D4"/>
    <w:rsid w:val="00BA3727"/>
    <w:rsid w:val="00C636A4"/>
    <w:rsid w:val="00CE30D0"/>
    <w:rsid w:val="013E3C63"/>
    <w:rsid w:val="08CD7E92"/>
    <w:rsid w:val="0D2B0E11"/>
    <w:rsid w:val="0FE53E65"/>
    <w:rsid w:val="14217944"/>
    <w:rsid w:val="15F50B9B"/>
    <w:rsid w:val="2065062B"/>
    <w:rsid w:val="22FB4D36"/>
    <w:rsid w:val="24314CED"/>
    <w:rsid w:val="27E567FB"/>
    <w:rsid w:val="2EC456C9"/>
    <w:rsid w:val="34505003"/>
    <w:rsid w:val="367D3FEB"/>
    <w:rsid w:val="402C5666"/>
    <w:rsid w:val="6272781E"/>
    <w:rsid w:val="64495FE5"/>
    <w:rsid w:val="6EAE73CA"/>
    <w:rsid w:val="724330D6"/>
    <w:rsid w:val="75A67159"/>
    <w:rsid w:val="78F056EA"/>
    <w:rsid w:val="7BD16CAF"/>
    <w:rsid w:val="7CB628D6"/>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line="360" w:lineRule="auto"/>
      <w:ind w:left="0"/>
      <w:jc w:val="left"/>
      <w:outlineLvl w:val="2"/>
    </w:pPr>
    <w:rPr>
      <w:rFonts w:eastAsia="宋体"/>
      <w:b/>
      <w:bCs/>
      <w:sz w:val="30"/>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toc 1"/>
    <w:basedOn w:val="1"/>
    <w:next w:val="1"/>
    <w:qFormat/>
    <w:uiPriority w:val="39"/>
    <w:rPr>
      <w:rFonts w:ascii="Times New Roman" w:hAnsi="Times New Roman"/>
      <w:szCs w:val="24"/>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basedOn w:val="1"/>
    <w:qFormat/>
    <w:uiPriority w:val="1"/>
    <w:rPr>
      <w:rFonts w:cs="宋体"/>
    </w:rPr>
  </w:style>
  <w:style w:type="character" w:customStyle="1" w:styleId="11">
    <w:name w:val="页眉 字符"/>
    <w:basedOn w:val="9"/>
    <w:link w:val="4"/>
    <w:qFormat/>
    <w:uiPriority w:val="0"/>
    <w:rPr>
      <w:rFonts w:asciiTheme="minorHAnsi" w:hAnsiTheme="minorHAnsi" w:eastAsiaTheme="minorEastAsia" w:cstheme="minorBidi"/>
      <w:kern w:val="2"/>
      <w:sz w:val="18"/>
      <w:szCs w:val="18"/>
    </w:rPr>
  </w:style>
  <w:style w:type="character" w:customStyle="1" w:styleId="12">
    <w:name w:val="页脚 字符"/>
    <w:basedOn w:val="9"/>
    <w:link w:val="3"/>
    <w:qFormat/>
    <w:uiPriority w:val="0"/>
    <w:rPr>
      <w:rFonts w:asciiTheme="minorHAnsi" w:hAnsiTheme="minorHAnsi" w:eastAsiaTheme="minorEastAsia" w:cstheme="minorBidi"/>
      <w:kern w:val="2"/>
      <w:sz w:val="18"/>
      <w:szCs w:val="18"/>
    </w:r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1695</Words>
  <Characters>1820</Characters>
  <Lines>17</Lines>
  <Paragraphs>4</Paragraphs>
  <TotalTime>0</TotalTime>
  <ScaleCrop>false</ScaleCrop>
  <LinksUpToDate>false</LinksUpToDate>
  <CharactersWithSpaces>1832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2025-06-25T09:21:00Z</dcterms:created>
  <dc:creator>lenovo</dc:creator>
  <cp:lastModifiedBy>未命名</cp:lastModifiedBy>
  <dcterms:modified xsi:type="dcterms:W3CDTF">2025-10-15T08:20:41Z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B0DCBCBF852F41C9A0F8C44193FE0FE3_13</vt:lpwstr>
  </property>
  <property fmtid="{D5CDD505-2E9C-101B-9397-08002B2CF9AE}" pid="4" name="KSOTemplateDocerSaveRecord">
    <vt:lpwstr>eyJoZGlkIjoiMTRmZTg5MWI0ZjYxYmE2YzljNjAzMmMyNTU4NWM5MmMiLCJ1c2VySWQiOiIyNjIwODEyODMifQ==</vt:lpwstr>
  </property>
</Properties>
</file>